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eastAsia="方正小标宋简体"/>
          <w:sz w:val="28"/>
        </w:rPr>
      </w:pPr>
    </w:p>
    <w:p>
      <w:pPr>
        <w:spacing w:line="360" w:lineRule="auto"/>
        <w:jc w:val="distribute"/>
        <w:rPr>
          <w:rFonts w:hint="eastAsia" w:ascii="方正小标宋简体" w:eastAsia="方正小标宋简体"/>
          <w:sz w:val="28"/>
        </w:rPr>
      </w:pPr>
      <w:r>
        <w:rPr>
          <w:rFonts w:hint="eastAsia" w:ascii="方正小标宋简体" w:hAnsi="方正小标宋简体" w:eastAsia="方正小标宋简体"/>
          <w:color w:val="FF0000"/>
          <w:w w:val="30"/>
          <w:sz w:val="120"/>
        </w:rPr>
        <w:t>中共江苏城乡建设职业学院委员会文件</w:t>
      </w:r>
    </w:p>
    <w:p>
      <w:pPr>
        <w:jc w:val="center"/>
        <w:rPr>
          <w:rFonts w:hint="eastAsia" w:ascii="仿宋_GB2312" w:eastAsia="仿宋_GB2312"/>
          <w:sz w:val="32"/>
        </w:rPr>
      </w:pPr>
      <w:r>
        <w:rPr>
          <w:rFonts w:hint="eastAsia" w:ascii="仿宋_GB2312" w:eastAsia="仿宋_GB2312"/>
          <w:sz w:val="32"/>
        </w:rPr>
        <w:t>苏城建院党〔2020〕</w:t>
      </w:r>
      <w:r>
        <w:rPr>
          <w:rFonts w:hint="eastAsia" w:ascii="仿宋" w:hAnsi="仿宋" w:eastAsia="仿宋"/>
          <w:sz w:val="32"/>
        </w:rPr>
        <w:t>9号</w:t>
      </w:r>
    </w:p>
    <w:p>
      <w:pPr>
        <w:jc w:val="center"/>
        <w:rPr>
          <w:rFonts w:hint="eastAsia" w:ascii="方正小标宋简体" w:eastAsia="方正小标宋简体"/>
          <w:sz w:val="44"/>
        </w:rPr>
      </w:pPr>
      <w:r>
        <mc:AlternateContent>
          <mc:Choice Requires="wps">
            <w:drawing>
              <wp:anchor distT="0" distB="0" distL="114300" distR="114300" simplePos="0" relativeHeight="251660288" behindDoc="0" locked="1" layoutInCell="1" allowOverlap="1">
                <wp:simplePos x="0" y="0"/>
                <wp:positionH relativeFrom="column">
                  <wp:posOffset>635</wp:posOffset>
                </wp:positionH>
                <wp:positionV relativeFrom="paragraph">
                  <wp:posOffset>261620</wp:posOffset>
                </wp:positionV>
                <wp:extent cx="5505450" cy="635"/>
                <wp:effectExtent l="0" t="19050" r="0" b="37465"/>
                <wp:wrapNone/>
                <wp:docPr id="3" name="直接连接符 3"/>
                <wp:cNvGraphicFramePr/>
                <a:graphic xmlns:a="http://schemas.openxmlformats.org/drawingml/2006/main">
                  <a:graphicData uri="http://schemas.microsoft.com/office/word/2010/wordprocessingShape">
                    <wps:wsp>
                      <wps:cNvCnPr/>
                      <wps:spPr>
                        <a:xfrm>
                          <a:off x="0" y="0"/>
                          <a:ext cx="5505450" cy="63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20.6pt;height:0.05pt;width:433.5pt;z-index:251660288;mso-width-relative:page;mso-height-relative:page;" filled="f" stroked="t" coordsize="21600,21600" o:gfxdata="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zgF+/WAAAABgEAAA8AAAAA&#10;AAAAAQAgAAAAIgAAAGRycy9kb3ducmV2LnhtbFBLAQIUABQAAAAIAIdO4kDbSCJr3QEAAJkDAAAO&#10;AAAAAAAAAAEAIAAAACUBAABkcnMvZTJvRG9jLnhtbFBLBQYAAAAABgAGAFkBAAB0BQAAAAA=&#10;">
                <v:fill on="f" focussize="0,0"/>
                <v:stroke weight="3pt" color="#FF0000" joinstyle="round"/>
                <v:imagedata o:title=""/>
                <o:lock v:ext="edit" aspectratio="f"/>
                <w10:anchorlock/>
              </v:line>
            </w:pict>
          </mc:Fallback>
        </mc:AlternateContent>
      </w:r>
    </w:p>
    <w:p>
      <w:pPr>
        <w:spacing w:line="560" w:lineRule="exact"/>
        <w:jc w:val="center"/>
        <w:rPr>
          <w:rFonts w:ascii="方正小标宋简体" w:eastAsia="方正小标宋简体"/>
          <w:sz w:val="44"/>
        </w:rPr>
      </w:pPr>
      <w:bookmarkStart w:id="0" w:name="发文标题"/>
      <w:r>
        <w:rPr>
          <w:rFonts w:hint="eastAsia" w:ascii="方正小标宋简体" w:eastAsia="方正小标宋简体"/>
          <w:sz w:val="44"/>
        </w:rPr>
        <w:t>关于印发《江苏城乡建设职业学院2020年党政工作要点》的通知</w:t>
      </w:r>
      <w:bookmarkEnd w:id="0"/>
    </w:p>
    <w:p>
      <w:pPr>
        <w:spacing w:line="560" w:lineRule="exact"/>
        <w:jc w:val="center"/>
        <w:rPr>
          <w:rFonts w:hint="eastAsia" w:ascii="方正小标宋简体" w:eastAsia="方正小标宋简体"/>
          <w:sz w:val="44"/>
        </w:rPr>
      </w:pPr>
    </w:p>
    <w:p>
      <w:pPr>
        <w:spacing w:line="560" w:lineRule="exact"/>
        <w:rPr>
          <w:rFonts w:hint="eastAsia" w:ascii="仿宋_GB2312" w:hAnsi="仿宋_GB2312" w:eastAsia="仿宋_GB2312" w:cs="仿宋_GB2312"/>
          <w:sz w:val="32"/>
        </w:rPr>
      </w:pPr>
      <w:bookmarkStart w:id="1" w:name="主送单位"/>
      <w:r>
        <w:rPr>
          <w:rFonts w:hint="eastAsia" w:ascii="仿宋_GB2312" w:hAnsi="仿宋_GB2312" w:eastAsia="仿宋_GB2312" w:cs="仿宋_GB2312"/>
          <w:sz w:val="32"/>
        </w:rPr>
        <w:t>各二级党组织、各部门</w:t>
      </w:r>
      <w:bookmarkEnd w:id="1"/>
      <w:r>
        <w:rPr>
          <w:rFonts w:hint="eastAsia" w:ascii="仿宋_GB2312" w:hAnsi="仿宋_GB2312" w:eastAsia="仿宋_GB2312" w:cs="仿宋_GB2312"/>
          <w:sz w:val="32"/>
        </w:rPr>
        <w:t>：</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《江苏城乡建设职业学院2020年党政工作要点》经校党委会审议通过，现予印发，希遵照执行。</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特此通知。</w:t>
      </w:r>
    </w:p>
    <w:p>
      <w:pPr>
        <w:spacing w:line="560" w:lineRule="exact"/>
        <w:ind w:firstLine="800" w:firstLineChars="250"/>
        <w:rPr>
          <w:rFonts w:hint="eastAsia" w:ascii="仿宋_GB2312" w:hAnsi="仿宋_GB2312" w:eastAsia="仿宋_GB2312" w:cs="仿宋_GB2312"/>
          <w:sz w:val="32"/>
          <w:szCs w:val="32"/>
        </w:rPr>
      </w:pPr>
    </w:p>
    <w:p>
      <w:pPr>
        <w:spacing w:line="560" w:lineRule="exact"/>
        <w:ind w:firstLine="800" w:firstLineChars="250"/>
        <w:rPr>
          <w:rFonts w:hint="eastAsia" w:ascii="仿宋_GB2312" w:hAnsi="仿宋_GB2312" w:eastAsia="仿宋_GB2312" w:cs="仿宋_GB2312"/>
          <w:sz w:val="32"/>
          <w:szCs w:val="32"/>
        </w:rPr>
      </w:pPr>
    </w:p>
    <w:p>
      <w:pPr>
        <w:spacing w:line="560" w:lineRule="exact"/>
        <w:ind w:firstLine="800" w:firstLineChars="250"/>
        <w:rPr>
          <w:rFonts w:hint="eastAsia" w:ascii="仿宋_GB2312" w:hAnsi="仿宋_GB2312" w:eastAsia="仿宋_GB2312" w:cs="仿宋_GB2312"/>
          <w:sz w:val="32"/>
          <w:szCs w:val="32"/>
        </w:rPr>
      </w:pPr>
    </w:p>
    <w:p>
      <w:pPr>
        <w:ind w:firstLine="3680" w:firstLineChars="1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中共江苏城乡建设职业学院委员会</w:t>
      </w:r>
    </w:p>
    <w:p>
      <w:pPr>
        <w:wordWrap w:val="0"/>
        <w:spacing w:line="56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2020年5月27日       </w:t>
      </w:r>
    </w:p>
    <w:p>
      <w:pPr>
        <w:spacing w:line="560" w:lineRule="exact"/>
        <w:jc w:val="right"/>
        <w:rPr>
          <w:rFonts w:hint="eastAsia" w:ascii="仿宋_GB2312" w:hAnsi="仿宋_GB2312" w:eastAsia="仿宋_GB2312" w:cs="仿宋_GB2312"/>
          <w:sz w:val="32"/>
          <w:szCs w:val="32"/>
        </w:rPr>
      </w:pPr>
    </w:p>
    <w:p>
      <w:pPr>
        <w:spacing w:line="560" w:lineRule="exact"/>
        <w:jc w:val="right"/>
        <w:rPr>
          <w:rFonts w:hint="eastAsia" w:ascii="仿宋_GB2312" w:hAnsi="仿宋_GB2312" w:eastAsia="仿宋_GB2312" w:cs="仿宋_GB2312"/>
          <w:sz w:val="32"/>
          <w:szCs w:val="32"/>
        </w:rPr>
      </w:pPr>
    </w:p>
    <w:p>
      <w:pPr>
        <w:spacing w:line="560" w:lineRule="exact"/>
        <w:jc w:val="right"/>
        <w:rPr>
          <w:rFonts w:hint="eastAsia" w:ascii="仿宋_GB2312" w:hAnsi="仿宋_GB2312" w:eastAsia="仿宋_GB2312" w:cs="仿宋_GB2312"/>
          <w:sz w:val="32"/>
          <w:szCs w:val="32"/>
        </w:rPr>
      </w:pPr>
    </w:p>
    <w:p>
      <w:pPr>
        <w:adjustRightInd w:val="0"/>
        <w:snapToGrid w:val="0"/>
        <w:jc w:val="center"/>
        <w:rPr>
          <w:rFonts w:ascii="方正小标宋简体" w:eastAsia="方正小标宋简体"/>
          <w:sz w:val="44"/>
        </w:rPr>
      </w:pPr>
      <w:r>
        <w:rPr>
          <w:rFonts w:hint="eastAsia" w:ascii="方正小标宋简体" w:eastAsia="方正小标宋简体"/>
          <w:sz w:val="44"/>
        </w:rPr>
        <w:t>江苏城乡建设职业学院20</w:t>
      </w:r>
      <w:r>
        <w:rPr>
          <w:rFonts w:ascii="方正小标宋简体" w:eastAsia="方正小标宋简体"/>
          <w:sz w:val="44"/>
        </w:rPr>
        <w:t>20</w:t>
      </w:r>
      <w:r>
        <w:rPr>
          <w:rFonts w:hint="eastAsia" w:ascii="方正小标宋简体" w:eastAsia="方正小标宋简体"/>
          <w:sz w:val="44"/>
        </w:rPr>
        <w:t>年</w:t>
      </w:r>
    </w:p>
    <w:p>
      <w:pPr>
        <w:adjustRightInd w:val="0"/>
        <w:snapToGrid w:val="0"/>
        <w:jc w:val="center"/>
        <w:rPr>
          <w:rFonts w:hint="eastAsia" w:ascii="方正小标宋简体" w:eastAsia="方正小标宋简体"/>
          <w:sz w:val="44"/>
        </w:rPr>
      </w:pPr>
      <w:r>
        <w:rPr>
          <w:rFonts w:hint="eastAsia" w:ascii="方正小标宋简体" w:eastAsia="方正小标宋简体"/>
          <w:sz w:val="44"/>
        </w:rPr>
        <w:t>党政工作要点</w:t>
      </w:r>
    </w:p>
    <w:p>
      <w:pPr>
        <w:ind w:firstLine="640" w:firstLineChars="200"/>
        <w:rPr>
          <w:rFonts w:ascii="仿宋" w:hAnsi="仿宋" w:eastAsia="仿宋"/>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是“十三五”规划的收官之年，也是全面谋划“十四五”事业发展的关键一年。2020年，学校要以习近平新时代中国特色社会主义思想为指导，持续巩固“不忘初心，牢记使命”主题教育成果，全面贯彻党的教育方针，以立德树人为根本、以能力提升为核心、以产教融合为抓手，落实新建院校人才培养工作评估整改，对照江苏省高校综合考核工作标准，全面开展“十三五”规划总结与“十四五”规划启动工作，坚持“从严治党、从严治校、从严治教、从严治学”，不断强化内涵建设，着力提升人才培养、科学研究、社会服务、文化传承创新、国际交流合作的整体水平，坚决打赢新冠肺炎疫情阻击战，推动建设高水平有特色的建设类行业高职院再上新台阶。</w:t>
      </w:r>
    </w:p>
    <w:p>
      <w:pPr>
        <w:ind w:firstLine="640" w:firstLineChars="200"/>
        <w:rPr>
          <w:rFonts w:ascii="黑体" w:hAnsi="黑体" w:eastAsia="黑体"/>
          <w:bCs/>
          <w:color w:val="FF0000"/>
          <w:sz w:val="32"/>
          <w:szCs w:val="32"/>
        </w:rPr>
      </w:pPr>
      <w:r>
        <w:rPr>
          <w:rFonts w:hint="eastAsia" w:ascii="黑体" w:hAnsi="黑体" w:eastAsia="黑体"/>
          <w:bCs/>
          <w:sz w:val="32"/>
          <w:szCs w:val="32"/>
        </w:rPr>
        <w:t>一、继续大力实施党建提升工程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1.切实加强党对学校工作的全面领导。围绕“四个从严”总体要求，以“党建工作提升年”为主线，全面加强党的</w:t>
      </w:r>
      <w:r>
        <w:rPr>
          <w:rFonts w:hint="eastAsia" w:ascii="仿宋_GB2312" w:hAnsi="仿宋_GB2312" w:eastAsia="仿宋_GB2312" w:cs="仿宋_GB2312"/>
          <w:sz w:val="32"/>
          <w:szCs w:val="32"/>
          <w:lang w:eastAsia="zh-CN"/>
        </w:rPr>
        <w:t>政治建设、</w:t>
      </w:r>
      <w:r>
        <w:rPr>
          <w:rFonts w:hint="eastAsia" w:ascii="仿宋_GB2312" w:hAnsi="仿宋_GB2312" w:eastAsia="仿宋_GB2312" w:cs="仿宋_GB2312"/>
          <w:sz w:val="32"/>
          <w:szCs w:val="32"/>
        </w:rPr>
        <w:t>思想建设、组织建设、作风建设、纪律建设与制度建设。不断增强“四个意识”、坚定“四个自信”、做到“两个维护”，全面贯彻党的教育方针，加强党对学校工作的全面领导。认真落实新时代党的建设总要求，以党的政治建设为统领，落实好省委组织部《关于进一步做好省属高校领导班子政治建设&lt;若干措施&gt;贯彻落实工作的通知》，努力创新党建引领中心工作的方式途径。高质量召开好领导班子、二级党组织民主生活会和党支部组织生活会。</w:t>
      </w:r>
    </w:p>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32"/>
        </w:rPr>
        <w:t>2.扎实推进“不忘初心，牢记使命”主题教育制度化、常态化。继续以“不忘初心，牢记使命”主题教育的高标准来要求校内党建活动的组织和开展，认真推进“不忘初心，牢记使命”主题教育问题的整改落实，探索“学习研讨、调查研究、检视问题、整改落实”的常态化工作办法和举措，持续引导全体党员教职工牢记教育初心，担负教育使命。在2020年底再聚力解决一批</w:t>
      </w:r>
      <w:r>
        <w:rPr>
          <w:rFonts w:hint="eastAsia" w:ascii="仿宋_GB2312" w:hAnsi="仿宋_GB2312" w:eastAsia="仿宋_GB2312" w:cs="仿宋_GB2312"/>
          <w:sz w:val="32"/>
          <w:szCs w:val="40"/>
        </w:rPr>
        <w:t>师生关注的热点问题和难点问题，</w:t>
      </w:r>
      <w:r>
        <w:rPr>
          <w:rFonts w:hint="eastAsia" w:ascii="仿宋_GB2312" w:hAnsi="仿宋_GB2312" w:eastAsia="仿宋_GB2312" w:cs="仿宋_GB2312"/>
          <w:sz w:val="32"/>
          <w:szCs w:val="32"/>
        </w:rPr>
        <w:t>落实好教代会议题解决工作，助力学校高质量发展。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kern w:val="0"/>
          <w:sz w:val="32"/>
          <w:szCs w:val="32"/>
        </w:rPr>
        <w:t>持续深入学习贯彻习近平新时代中国特色社会主义思想。进一步</w:t>
      </w:r>
      <w:r>
        <w:rPr>
          <w:rFonts w:hint="eastAsia" w:ascii="仿宋_GB2312" w:hAnsi="仿宋_GB2312" w:eastAsia="仿宋_GB2312" w:cs="仿宋_GB2312"/>
          <w:sz w:val="32"/>
          <w:szCs w:val="32"/>
        </w:rPr>
        <w:t>学习贯彻</w:t>
      </w:r>
      <w:r>
        <w:rPr>
          <w:rFonts w:hint="eastAsia" w:ascii="仿宋_GB2312" w:hAnsi="仿宋_GB2312" w:eastAsia="仿宋_GB2312" w:cs="仿宋_GB2312"/>
          <w:kern w:val="0"/>
          <w:sz w:val="32"/>
          <w:szCs w:val="32"/>
        </w:rPr>
        <w:t>十九大、</w:t>
      </w:r>
      <w:r>
        <w:rPr>
          <w:rFonts w:hint="eastAsia" w:ascii="仿宋_GB2312" w:hAnsi="仿宋_GB2312" w:eastAsia="仿宋_GB2312" w:cs="仿宋_GB2312"/>
          <w:sz w:val="32"/>
          <w:szCs w:val="32"/>
        </w:rPr>
        <w:t>十九届三中、四中全会、全国教育大会、</w:t>
      </w:r>
      <w:r>
        <w:rPr>
          <w:rFonts w:hint="eastAsia" w:ascii="仿宋_GB2312" w:hAnsi="仿宋_GB2312" w:eastAsia="仿宋_GB2312" w:cs="仿宋_GB2312"/>
          <w:kern w:val="0"/>
          <w:sz w:val="32"/>
          <w:szCs w:val="32"/>
        </w:rPr>
        <w:t>全国高校思想政治工作会议的精神</w:t>
      </w:r>
      <w:r>
        <w:rPr>
          <w:rFonts w:hint="eastAsia" w:ascii="仿宋_GB2312" w:hAnsi="仿宋_GB2312" w:eastAsia="仿宋_GB2312" w:cs="仿宋_GB2312"/>
          <w:sz w:val="32"/>
          <w:szCs w:val="32"/>
        </w:rPr>
        <w:t>以及全省教育大会、《江苏教育现代化2035》、《加快推进江苏教育现代化实施方案（2019-2022）》等政策，确保学习传达上级党组织决策部署及时到位。结合上级对党员培训的要求，制定党员培训教育工作方案，制定发布</w:t>
      </w:r>
      <w:r>
        <w:rPr>
          <w:rFonts w:hint="eastAsia" w:ascii="仿宋_GB2312" w:hAnsi="仿宋_GB2312" w:eastAsia="仿宋_GB2312" w:cs="仿宋_GB2312"/>
          <w:kern w:val="0"/>
          <w:sz w:val="32"/>
          <w:szCs w:val="32"/>
        </w:rPr>
        <w:t>党委中心组、二级党组织2020年理论学习计划，落实中心组巡视旁听工作，做好校外党建专家到校引领工作计划，指导党总支（支部）常态化开展政治理论学习活动，督促和激励广大党员干部利用“学习强国”平台进行理论自学和提升，确保覆盖率达100%。</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TT9227E77DtCID-WinCharSetFFFF-H" w:eastAsia="TT9227E77DtCID-WinCharSetFFFF-H" w:cs="TT9227E77DtCID-WinCharSetFFFF-H"/>
          <w:kern w:val="0"/>
          <w:sz w:val="32"/>
          <w:szCs w:val="32"/>
        </w:rPr>
        <w:t xml:space="preserve"> </w:t>
      </w:r>
      <w:r>
        <w:rPr>
          <w:rFonts w:hint="eastAsia" w:ascii="仿宋_GB2312" w:hAnsi="仿宋_GB2312" w:eastAsia="仿宋_GB2312" w:cs="仿宋_GB2312"/>
          <w:kern w:val="0"/>
          <w:sz w:val="32"/>
          <w:szCs w:val="32"/>
        </w:rPr>
        <w:t>进一步加强意识形态工作。落实好意识形态工作责任制，压牢压实各基层党组织和主要职能部门的意识形态工作职责，不断巩固马克思主义在学校意识形态领域的指导地位。</w:t>
      </w:r>
      <w:r>
        <w:rPr>
          <w:rFonts w:hint="eastAsia" w:ascii="仿宋_GB2312" w:hAnsi="仿宋_GB2312" w:eastAsia="仿宋_GB2312" w:cs="仿宋_GB2312"/>
          <w:sz w:val="32"/>
          <w:szCs w:val="32"/>
        </w:rPr>
        <w:t>落实好江苏省高校意识形态安全工作指引，完善健全意识形态队伍建设、阵地管理制度，加强学生社团管理，严防宗教渗透，完善督查考核和问责机制。继续落实好意识形态工作分析研判和情况报告制度。落实好江苏省高校思政工作重点任务清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进一步提升基层党总支（支部）党建工作质量。2020年各基层党组织要以《新时代江苏高校党支部建设“提质增效”三年行动计划检查指标计分细则》为标准，在政治理论教育、党章党规党纪教育、党的宗旨教育、革命传统教育、形势政策教育等工作中做到主题鲜明；在发展党员、党员培训、党籍管理、党费收缴、党务公开、党内激励关怀帮扶、流动党员管理等工作上做到扎实规范；在三会一课、组织生活会、谈心谈话、民主评议党员等工作上做到实效显著；在书记工作室、党员活动室、党建网站等阵地建设上加强保障；启动培育创建“标杆院系”、“样板支部”，力争标准党支部达100%、优质党支部10%以上，“双带头人”教师党支部达100%。做好党建与思想政治教育工作诊断与改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高度重视宣传思想、文化法治工作。认真学习贯彻《中国共产党宣传工作条例》，切实加强各级党组织对宣传工作的领导，加强专兼职宣传队伍建设和“两微一端”宣传阵地建设，提升新形势下学校宣传工作的整体水平。深入开展好“城建榜样”主题宣传活动，大力弘扬各类先进典型和优秀事迹，用榜样的力量感染人鼓舞人指引人，不断推进校园精神文明建设。加强校园文化建设，把深入系统实施“三色文化”育人工程和提升服务学生水平相结合，创建校园特色文化活动品牌。推进依法治校，健全法治宣传教育机制，积极开展好普法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深入开展党的作风建设。进一步完善和健全党员领导干部联系基层工作办法，提升党员领导干部联系基层实际成效，坚守以人民为中心的政治立场，着力解决群众反映强烈的突出问题。进一步探索和优化党委班子履责纪实工作办法，提升党委、纪委履责纪实的科学性、规范性与及时性，创新性探索党总支（支部）班子履责纪实的办法。深化学校“解难题、抓试点、求突破”主题活动工作成效，继续开展教风、学风建设等专项整治活动，深化集中整治形式主义、官僚主义成果，不断增强学校党委向心力，齐抓共管解决师生关切的问题，切实让师生感受到党员干部作风转变的成效，推动学校改革事业快速发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坚持不懈开展党风廉政建设。以党风廉政建设为底线，层层压实从严治党的党委主体责任、纪委监督责任，召开年度工作会议，签订责任书，召开党委专题会议排查党风廉政风险点，促进管党治党主体责任和监督责任贯通协同、形成合力。强化监督检查，做到党中央和省委重大决策部署到哪里，监督检查就跟进到哪里，确保政令畅通。逐步推进校内巡查工作常态化，规范化。在2020年末实现二级学院党总支校内监察全覆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加强统一战线建设。进一步提高对学校统一战线工作重视程度，加强学校统战工作思路、制度、机制研究，着重加强学校统战工作制度化建设，提升各项工作规范化和程序化水平，加强党委对群团组织的关心和指导，深入推行校内民主，充分凝聚各方力量，促进学校事业蓬勃发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全面指导育人工作任务。全面总结和验收三年来“十大育人体系”的有效经验和重点项目，对卓有成效、广受好评的育人经验和项目予以成果认定，对推进育人体系有力、有序、有效的部门和团队予以表彰。继续深化思政课程和课程思政教学改革，加强思政教师队伍建设，进一步完善和运用学校教学质量诊断与改进办法，全面提升课堂教学质量，创新发展实践教学、第二课堂等教育实效，把党的领导教育、理想信念教育、爱国主义教育、集体主义教育、优良传统美德、职业品格等融入日常教育教学、科研竞赛、创新创业以及后勤服务等各个方面。</w:t>
      </w:r>
    </w:p>
    <w:p>
      <w:pPr>
        <w:ind w:firstLine="640" w:firstLineChars="200"/>
        <w:rPr>
          <w:rFonts w:ascii="黑体" w:hAnsi="黑体" w:eastAsia="黑体"/>
          <w:bCs/>
          <w:sz w:val="32"/>
          <w:szCs w:val="32"/>
        </w:rPr>
      </w:pPr>
      <w:r>
        <w:rPr>
          <w:rFonts w:hint="eastAsia" w:ascii="黑体" w:hAnsi="黑体" w:eastAsia="黑体"/>
          <w:bCs/>
          <w:sz w:val="32"/>
          <w:szCs w:val="32"/>
        </w:rPr>
        <w:t>二、全力打好新冠疫情阻击战，保障师生健康安全。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全力抗击新冠肺炎疫情。根据国家、省、市教育主管部门的总体要求，坚决打赢新型冠状病毒阻击战。加强疫情防控领导机构与队伍建设，精心设计各项防控工作预案，细化各项防控措施流程与管理制度，严格做好校园封闭管理，积极筹备疫情防控设施用品，周密安排延期开学期间线上教学活动，广泛开展防控知识学习培训，大力宣传先进人物事迹，认真做好防控信息上报，扎实开展疫情防控工作督查，确保师生身心健康。引导师生全面深入思考全国人民在党的领导下抗击疫情的伟大斗争，广泛、深入开展爱国主义教育、生命健康教育，强化制度自信。</w:t>
      </w:r>
    </w:p>
    <w:p>
      <w:pPr>
        <w:ind w:firstLine="640" w:firstLineChars="200"/>
        <w:rPr>
          <w:rFonts w:ascii="黑体" w:hAnsi="黑体" w:eastAsia="黑体"/>
          <w:bCs/>
          <w:sz w:val="32"/>
          <w:szCs w:val="32"/>
        </w:rPr>
      </w:pPr>
      <w:r>
        <w:rPr>
          <w:rFonts w:hint="eastAsia" w:ascii="黑体" w:hAnsi="黑体" w:eastAsia="黑体"/>
          <w:bCs/>
          <w:sz w:val="32"/>
          <w:szCs w:val="32"/>
        </w:rPr>
        <w:t>三、全面落实评估整改工作，积极推进高质量发展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认真落实评估整改。2020年，要把评估整改工作作为一项政治性任务来抓，在全面梳理评估专家指出问题的基础上，认真贯彻落实《国家职业教育改革实施方案》等有关文件精神，进一步确立高职教育理念，建立人才培养水平评估整改问题清单和问题销号制度，细化整改措施，责任到人、责任到岗，构建横向到边、纵向到底的全方位整改格局，以项目化推进为抓手，明确目标、上下联动；加强过程控制，多层次召开</w:t>
      </w:r>
      <w:r>
        <w:rPr>
          <w:rFonts w:hint="eastAsia" w:ascii="仿宋_GB2312" w:hAnsi="仿宋" w:eastAsia="仿宋_GB2312"/>
          <w:sz w:val="32"/>
          <w:szCs w:val="32"/>
        </w:rPr>
        <w:t>专家意见学习研讨会，</w:t>
      </w:r>
      <w:r>
        <w:rPr>
          <w:rFonts w:hint="eastAsia" w:ascii="仿宋_GB2312" w:hAnsi="仿宋_GB2312" w:eastAsia="仿宋_GB2312" w:cs="仿宋_GB2312"/>
          <w:sz w:val="32"/>
          <w:szCs w:val="32"/>
        </w:rPr>
        <w:t>定期召开整改专题工作会议，总结分析上一阶段工作，研究部署下一阶段工作，力争在年内初步解决合格评估专家提出的主要问题，进一步推动学校更高水平发展。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全面对标江苏省高校综合考核。召开江苏省地方高校综合工作考核专题研讨会，统一思想，高度重视，全面分析党的建设绩效、高质量发展内涵、满意度等三方面指标，深挖内涵、扬长避短、确定目标、明确责任。建立分管领导挂帅、职能部门牵头、全校共同推进的工作机制；关注省内同类院校发展水平，合理确定学校具体量化目标体系；重点突破专业建设、教学成果、创新创业、现代职教体系、教学能力、国际交流与合作等关键指标。</w:t>
      </w:r>
    </w:p>
    <w:p>
      <w:pPr>
        <w:ind w:firstLine="640" w:firstLineChars="200"/>
        <w:rPr>
          <w:rFonts w:ascii="黑体" w:hAnsi="黑体" w:eastAsia="黑体"/>
          <w:bCs/>
          <w:sz w:val="32"/>
          <w:szCs w:val="32"/>
        </w:rPr>
      </w:pPr>
      <w:r>
        <w:rPr>
          <w:rFonts w:hint="eastAsia" w:ascii="黑体" w:hAnsi="黑体" w:eastAsia="黑体"/>
          <w:bCs/>
          <w:sz w:val="32"/>
          <w:szCs w:val="32"/>
        </w:rPr>
        <w:t>四、切实做好“十三五”规划总结，科学谋划“十四五”规划启动工作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完成“十三五”规划总结。2020年上半年，召开“十三五”规划专题工作会议，对照主要量化指标，科学布置工作任务。以2020年学校主要办学指标基本达到江苏省示范高职院校和全国建设类骨干高职院校2015年水平为核心，全面梳理各项任务达成情况，重点做好“十三五”规划“十项工程”及各分项规划、子规划的总结工作；逐项核查“十三五”规划8类具体指标，认真分析存在问题与未达成目标分析，总结经验教训，为学校快速度、高质量、可持续发展打下基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启动“十四五”规划编制。认真组织开展“十四五”规划前期调研工作，以中央、国家和省文件精神为指导，贯彻学校第一次党代会精神，科学确定国内同类型参照院校，重视量化指标的制定，明确学校未来五年发展目标，初步制定时间表、任务书和路线图。切实做到规划制定结合办学水平评估整改、结合推进省高校高质量发展考核、结合总结“十三五”规划成绩与不足，为科学制定“十四五”事业发展规划提供坚实保障。</w:t>
      </w:r>
    </w:p>
    <w:p>
      <w:pPr>
        <w:ind w:firstLine="640" w:firstLineChars="200"/>
        <w:rPr>
          <w:rFonts w:ascii="黑体" w:hAnsi="黑体" w:eastAsia="黑体"/>
          <w:bCs/>
          <w:sz w:val="32"/>
          <w:szCs w:val="32"/>
        </w:rPr>
      </w:pPr>
      <w:r>
        <w:rPr>
          <w:rFonts w:hint="eastAsia" w:ascii="黑体" w:hAnsi="黑体" w:eastAsia="黑体"/>
          <w:bCs/>
          <w:sz w:val="32"/>
          <w:szCs w:val="32"/>
        </w:rPr>
        <w:t>五、不断完善治理结构，大力加强机构改革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16．提升内部治理水平。贯彻落实党委领导下的</w:t>
      </w:r>
      <w:r>
        <w:rPr>
          <w:rFonts w:hint="eastAsia" w:ascii="仿宋_GB2312" w:hAnsi="仿宋_GB2312" w:eastAsia="仿宋_GB2312" w:cs="仿宋_GB2312"/>
          <w:sz w:val="32"/>
          <w:szCs w:val="32"/>
          <w:lang w:eastAsia="zh-CN"/>
        </w:rPr>
        <w:t>院长</w:t>
      </w:r>
      <w:r>
        <w:rPr>
          <w:rFonts w:hint="eastAsia" w:ascii="仿宋_GB2312" w:hAnsi="仿宋_GB2312" w:eastAsia="仿宋_GB2312" w:cs="仿宋_GB2312"/>
          <w:sz w:val="32"/>
          <w:szCs w:val="32"/>
        </w:rPr>
        <w:t>负责制，不断完善“党委领导、院长负责、专家治学、民主管理、社会参与”的内部治理体系。根据上级要求，修订优化学校党委会、校长办公会议事规则并正式公布。持续推进制度建设，高度重视制度的执行力，实施执行力提升工程，提升管理效能。完善以基本管理制度和具体规章制度为主体的制度体系，明晰规范服务流程。加强办学理事会、学术委员会、二级教代会建设，提升运作成效。</w:t>
      </w:r>
      <w:r>
        <w:rPr>
          <w:rFonts w:hint="eastAsia" w:ascii="仿宋_GB2312" w:hAnsi="仿宋" w:eastAsia="仿宋_GB2312"/>
          <w:sz w:val="32"/>
          <w:szCs w:val="32"/>
        </w:rPr>
        <w:t>进一步修订《学院教师工作量计算办法》《部门及个人绩效考核办法》《职称评审资格条件及评审办法》等，建立以专业建设为重点的、系统的、引领高质量发展新阶段的体制机制，激发部门、特别是二级院部和教师个人投入专业建设和教学改革的主动性、积极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17.推进机构改革。</w:t>
      </w:r>
      <w:r>
        <w:rPr>
          <w:rFonts w:hint="eastAsia" w:ascii="仿宋_GB2312" w:hAnsi="仿宋_GB2312" w:eastAsia="仿宋_GB2312" w:cs="仿宋_GB2312"/>
          <w:sz w:val="32"/>
          <w:szCs w:val="32"/>
        </w:rPr>
        <w:t>全面启动新一轮机构改革。</w:t>
      </w:r>
      <w:r>
        <w:rPr>
          <w:rFonts w:hint="eastAsia" w:ascii="仿宋_GB2312" w:hAnsi="仿宋" w:eastAsia="仿宋_GB2312"/>
          <w:sz w:val="32"/>
          <w:szCs w:val="32"/>
        </w:rPr>
        <w:t>独立设置思政部，设立马克思主义学院，全面加强思政教育。</w:t>
      </w:r>
      <w:r>
        <w:rPr>
          <w:rFonts w:hint="eastAsia" w:ascii="仿宋_GB2312" w:hAnsi="仿宋_GB2312" w:eastAsia="仿宋_GB2312" w:cs="仿宋_GB2312"/>
          <w:sz w:val="32"/>
          <w:szCs w:val="32"/>
        </w:rPr>
        <w:t>综合统筹科研与产业、就业与校企合作、审计与质量发展等行政工作职能，进一步优化职能部门设置。</w:t>
      </w:r>
      <w:r>
        <w:rPr>
          <w:rFonts w:hint="eastAsia" w:ascii="仿宋_GB2312" w:hAnsi="仿宋" w:eastAsia="仿宋_GB2312"/>
          <w:sz w:val="32"/>
          <w:szCs w:val="32"/>
        </w:rPr>
        <w:t>成立创新创业学院，整合就业创业指导等相关职能。成立教师发展中心，加强党对人才队伍建设工作和人才培养工作的全面领导。进一步降低管理重心，调研、出台推进二级管理相关办法，扩大二级学院权责。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实施干部换届聘任。实施新一轮中层干部聘任，选拔任用一批优秀青年干部，优化干部队伍结构，提升干部队伍工作水平，完成新一轮部门岗位职责修订工作。优化部门考核和个人考核制度，实现考核项目全覆盖，探索一票评优改革。</w:t>
      </w:r>
    </w:p>
    <w:p>
      <w:pPr>
        <w:ind w:firstLine="640" w:firstLineChars="200"/>
        <w:rPr>
          <w:rFonts w:ascii="黑体" w:hAnsi="黑体" w:eastAsia="黑体"/>
          <w:bCs/>
          <w:sz w:val="32"/>
          <w:szCs w:val="32"/>
        </w:rPr>
      </w:pPr>
      <w:r>
        <w:rPr>
          <w:rFonts w:hint="eastAsia" w:ascii="黑体" w:hAnsi="黑体" w:eastAsia="黑体"/>
          <w:bCs/>
          <w:sz w:val="32"/>
          <w:szCs w:val="32"/>
        </w:rPr>
        <w:t>六、大力推行人才强校战略，切实加强师资队伍建设</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19．优化教师队伍结构。结合二级学院专业建设发展方向和重点专业建设要求，花大气力、下真功夫，加大高层次人才的培养、引进和稳定的力度，力争2020年高学历、高职称人才引培有新突破。</w:t>
      </w:r>
      <w:r>
        <w:rPr>
          <w:rFonts w:hint="eastAsia" w:ascii="仿宋_GB2312" w:hAnsi="仿宋" w:eastAsia="仿宋_GB2312"/>
          <w:sz w:val="32"/>
          <w:szCs w:val="32"/>
        </w:rPr>
        <w:t>制订出台《学院高层次人才队伍建设专门意见》，修改完善《学院高层次人才引进培养办法》，提升激励力度、创新方式方法、明确数量指标、确定培养对象、做实培养举措。设立专项资金200万元，重点引进（柔性引进）博士1-2人，正高职称1-2人，引领教学和科研团队建设。建立双师结构</w:t>
      </w:r>
      <w:r>
        <w:rPr>
          <w:rFonts w:hint="eastAsia" w:ascii="仿宋_GB2312" w:hAnsi="仿宋" w:eastAsia="仿宋_GB2312"/>
          <w:sz w:val="32"/>
          <w:szCs w:val="32"/>
          <w:lang w:eastAsia="zh-CN"/>
        </w:rPr>
        <w:t>教学</w:t>
      </w:r>
      <w:r>
        <w:rPr>
          <w:rFonts w:hint="eastAsia" w:ascii="仿宋_GB2312" w:hAnsi="仿宋" w:eastAsia="仿宋_GB2312"/>
          <w:sz w:val="32"/>
          <w:szCs w:val="32"/>
        </w:rPr>
        <w:t>团队项目建设培养机制，2020年遴选1-2个开展试点项目建设。增加从企业引进人才比例，今年引进中级以上职称专业教师3名以上。推动每个二级学院每年选派2名以上教师赴行业协会、企业实践锻炼三个月以上。</w:t>
      </w:r>
      <w:r>
        <w:rPr>
          <w:rFonts w:hint="eastAsia" w:ascii="仿宋_GB2312" w:hAnsi="仿宋_GB2312" w:eastAsia="仿宋_GB2312" w:cs="仿宋_GB2312"/>
          <w:sz w:val="32"/>
          <w:szCs w:val="32"/>
        </w:rPr>
        <w:t>多渠道开展专业技能培训，争取2020年底“双师素质”教师比例达70%左右。</w:t>
      </w:r>
      <w:r>
        <w:rPr>
          <w:rFonts w:hint="eastAsia" w:ascii="仿宋_GB2312" w:hAnsi="仿宋" w:eastAsia="仿宋_GB2312"/>
          <w:sz w:val="32"/>
          <w:szCs w:val="32"/>
        </w:rPr>
        <w:t>按照《普通高等学校辅导员队伍建设规定》，按1：200左右配齐专职辅导员。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20．切实开展教师能力提升工程。</w:t>
      </w:r>
      <w:r>
        <w:rPr>
          <w:rFonts w:hint="eastAsia" w:ascii="仿宋_GB2312" w:hAnsi="仿宋" w:eastAsia="仿宋_GB2312"/>
          <w:sz w:val="32"/>
          <w:szCs w:val="32"/>
        </w:rPr>
        <w:t>深入学习《国家职业教育改革实施方案》等系列文件，持续提升教职员工高职教育理念。完善教职工培训学习相关制度和管理，本年度投入150万元，实施面向专业带头人、骨干教师、青年教师、中层干部等的一批校本师资培训项目。</w:t>
      </w:r>
      <w:r>
        <w:rPr>
          <w:rFonts w:hint="eastAsia" w:ascii="仿宋_GB2312" w:hAnsi="仿宋_GB2312" w:eastAsia="仿宋_GB2312" w:cs="仿宋_GB2312"/>
          <w:sz w:val="32"/>
          <w:szCs w:val="32"/>
        </w:rPr>
        <w:t>进一步用好行业优势，积极拓宽和完善兼职教师聘用渠道，建立省厅处室专家领导到学校讲学机制、担任行业专业带头人、兼职教授。规范兼职</w:t>
      </w:r>
      <w:r>
        <w:rPr>
          <w:rFonts w:hint="eastAsia" w:ascii="仿宋_GB2312" w:hAnsi="仿宋_GB2312" w:eastAsia="仿宋_GB2312" w:cs="仿宋_GB2312"/>
          <w:sz w:val="32"/>
          <w:szCs w:val="32"/>
          <w:lang w:eastAsia="zh-CN"/>
        </w:rPr>
        <w:t>教师</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注重</w:t>
      </w:r>
      <w:r>
        <w:rPr>
          <w:rFonts w:hint="eastAsia" w:ascii="仿宋_GB2312" w:hAnsi="仿宋_GB2312" w:eastAsia="仿宋_GB2312" w:cs="仿宋_GB2312"/>
          <w:sz w:val="32"/>
          <w:szCs w:val="32"/>
        </w:rPr>
        <w:t>兼职教师岗前基本教学能力培训，打造一批实力强、素质高的兼职教师队伍。实质性开展好教育部创新行动计划批准的3个“双师型教师培训基地”。重视教师的国际化能力建设，鼓励教师参加国际学术交流和师生参加国际大赛。做好江苏省教师教学能力大赛的选拨、集训、参赛工作，力争获得一等奖1名以上并参加全国大赛。完善工作机制，加大资金投入，提升现有技能大师工作室建设水平，力争形成一批较高水平的技能大师工作室的具体成果。</w:t>
      </w:r>
      <w:r>
        <w:rPr>
          <w:rFonts w:hint="eastAsia" w:ascii="仿宋_GB2312" w:hAnsi="仿宋" w:eastAsia="仿宋_GB2312"/>
          <w:sz w:val="32"/>
          <w:szCs w:val="32"/>
        </w:rPr>
        <w:t>开展辅导员能力培训，加强辅导员考核。健全兼职教师信息库，加强兼职教师教学过程管理，开展兼职教师教育教学能力专项培训。</w:t>
      </w:r>
    </w:p>
    <w:p>
      <w:pPr>
        <w:ind w:firstLine="640" w:firstLineChars="200"/>
        <w:rPr>
          <w:rFonts w:ascii="黑体" w:hAnsi="黑体" w:eastAsia="黑体"/>
          <w:b/>
          <w:sz w:val="32"/>
          <w:szCs w:val="32"/>
        </w:rPr>
      </w:pPr>
      <w:r>
        <w:rPr>
          <w:rFonts w:hint="eastAsia" w:ascii="黑体" w:hAnsi="黑体" w:eastAsia="黑体"/>
          <w:bCs/>
          <w:sz w:val="32"/>
          <w:szCs w:val="32"/>
        </w:rPr>
        <w:t>七、以专业建设为核心，大力提升人才培养质量。</w:t>
      </w:r>
    </w:p>
    <w:p>
      <w:pPr>
        <w:spacing w:line="360" w:lineRule="auto"/>
        <w:ind w:firstLine="640" w:firstLineChars="200"/>
        <w:rPr>
          <w:rFonts w:ascii="仿宋_GB2312" w:hAnsi="仿宋" w:eastAsia="仿宋_GB2312"/>
          <w:sz w:val="32"/>
          <w:szCs w:val="32"/>
        </w:rPr>
      </w:pPr>
      <w:r>
        <w:rPr>
          <w:rFonts w:hint="eastAsia" w:ascii="仿宋_GB2312" w:hAnsi="仿宋_GB2312" w:eastAsia="仿宋_GB2312" w:cs="仿宋_GB2312"/>
          <w:bCs/>
          <w:sz w:val="32"/>
          <w:szCs w:val="32"/>
        </w:rPr>
        <w:t>21.</w:t>
      </w:r>
      <w:r>
        <w:rPr>
          <w:rFonts w:hint="eastAsia" w:ascii="仿宋_GB2312" w:hAnsi="仿宋" w:eastAsia="仿宋_GB2312"/>
          <w:sz w:val="32"/>
          <w:szCs w:val="32"/>
        </w:rPr>
        <w:t>优化专业布局，实现集群发展。放缓专业增长步伐，出台《专业设置与动态调整管理办法》。开展“十四五”专业建设规划前期研究，深入了解建设行业和地方发展需求，出台《学院专业（群）布局优化调整方案》，按照大类培养、分向培训的方法构建专业群和课程体系。拓展专业建设内涵要求，开展专业（群）带头人培训，参考省品牌专业建设要求，学习制订专业（群）“十四五”建设方案，进一步凝炼专业特色。参照国家高水平专业群建设要求，集全校之力、借行业企业之力，通过2020年江苏省高校校长项目打造“BIM集成技术”专业群，建设BIM技术中心。</w:t>
      </w:r>
    </w:p>
    <w:p>
      <w:pPr>
        <w:spacing w:line="360" w:lineRule="auto"/>
        <w:ind w:firstLine="640" w:firstLineChars="200"/>
        <w:rPr>
          <w:rFonts w:ascii="仿宋_GB2312" w:hAnsi="仿宋" w:eastAsia="仿宋_GB2312"/>
          <w:sz w:val="32"/>
          <w:szCs w:val="32"/>
        </w:rPr>
      </w:pPr>
      <w:r>
        <w:rPr>
          <w:rFonts w:hint="eastAsia" w:ascii="仿宋_GB2312" w:hAnsi="仿宋_GB2312" w:eastAsia="仿宋_GB2312" w:cs="仿宋_GB2312"/>
          <w:bCs/>
          <w:sz w:val="32"/>
          <w:szCs w:val="32"/>
        </w:rPr>
        <w:t>22.</w:t>
      </w:r>
      <w:r>
        <w:rPr>
          <w:rFonts w:hint="eastAsia" w:ascii="仿宋_GB2312" w:hAnsi="仿宋" w:eastAsia="仿宋_GB2312"/>
          <w:sz w:val="32"/>
          <w:szCs w:val="32"/>
        </w:rPr>
        <w:t>深化课程改革与实训基地建设。组织修订2020版专业人才培养方案和课程标准。学习贯彻《教育部关于职业院校人才培养方案制订与实施工作的指导意见》及相关专业教学标准，修订学院《关于专业人才培养方案制定（修订）工作的原则意见》，全面组织修订2020版人才培养方案和课程标准。建立教师“三说”常态化机制，组织校级“三说”培训和比赛，提升教师对专业、课标和课堂内涵的认识,提高课程标准和教学设计的质量，推动课程改革。推进装配式建筑技术产教融合集成平台、木结构建筑技术中心、安全教育体验中心、绿色人居工程中心等实验实训基地建设。充分发挥混凝土项目国赛基地功能，促进学生工种实训水平提升。</w:t>
      </w:r>
    </w:p>
    <w:p>
      <w:pPr>
        <w:ind w:firstLine="640" w:firstLineChars="200"/>
        <w:rPr>
          <w:rFonts w:hint="eastAsia" w:ascii="仿宋_GB2312" w:hAnsi="仿宋" w:eastAsia="仿宋_GB2312"/>
          <w:sz w:val="32"/>
          <w:szCs w:val="32"/>
        </w:rPr>
      </w:pPr>
      <w:r>
        <w:rPr>
          <w:rFonts w:hint="eastAsia" w:ascii="仿宋_GB2312" w:hAnsi="仿宋_GB2312" w:eastAsia="仿宋_GB2312" w:cs="仿宋_GB2312"/>
          <w:bCs/>
          <w:sz w:val="32"/>
          <w:szCs w:val="32"/>
        </w:rPr>
        <w:t>23.全面深化校企合作、产教融合。</w:t>
      </w:r>
      <w:r>
        <w:rPr>
          <w:rFonts w:hint="eastAsia" w:ascii="仿宋_GB2312" w:hAnsi="仿宋" w:eastAsia="仿宋_GB2312"/>
          <w:sz w:val="32"/>
          <w:szCs w:val="32"/>
        </w:rPr>
        <w:t>深入开展混合所有制、现代学徒制、企业学院等试点，创新运行机制，提升校企合作水平。</w:t>
      </w:r>
      <w:r>
        <w:rPr>
          <w:rFonts w:hint="eastAsia" w:ascii="仿宋_GB2312" w:hAnsi="仿宋_GB2312" w:eastAsia="仿宋_GB2312" w:cs="仿宋_GB2312"/>
          <w:sz w:val="32"/>
          <w:szCs w:val="32"/>
        </w:rPr>
        <w:t>高水平建设好省级产教深度融合</w:t>
      </w:r>
      <w:r>
        <w:rPr>
          <w:rFonts w:hint="eastAsia" w:ascii="仿宋_GB2312" w:hAnsi="仿宋_GB2312" w:eastAsia="仿宋_GB2312" w:cs="仿宋_GB2312"/>
          <w:sz w:val="32"/>
          <w:szCs w:val="32"/>
          <w:lang w:eastAsia="zh-CN"/>
        </w:rPr>
        <w:t>实训</w:t>
      </w:r>
      <w:r>
        <w:rPr>
          <w:rFonts w:hint="eastAsia" w:ascii="仿宋_GB2312" w:hAnsi="仿宋_GB2312" w:eastAsia="仿宋_GB2312" w:cs="仿宋_GB2312"/>
          <w:sz w:val="32"/>
          <w:szCs w:val="32"/>
        </w:rPr>
        <w:t>平台和产教融合集成平台，以平台建设为抓手，深入推进大企、名企合作战略，进一步优化校企合作管理模式和运行机制，健全政府、行业、园区、院所常态化协同育人机制。与行业企业开展对话协作活动，邀请行业企业管理专家和能工巧匠积极参与专业建设，合作培养专业人才，</w:t>
      </w:r>
      <w:r>
        <w:rPr>
          <w:rFonts w:hint="eastAsia" w:ascii="仿宋_GB2312" w:hAnsi="仿宋" w:eastAsia="仿宋_GB2312"/>
          <w:sz w:val="32"/>
          <w:szCs w:val="32"/>
        </w:rPr>
        <w:t>本年度新增一批产教融合专家。</w:t>
      </w:r>
      <w:r>
        <w:rPr>
          <w:rFonts w:hint="eastAsia" w:ascii="仿宋_GB2312" w:hAnsi="仿宋_GB2312" w:eastAsia="仿宋_GB2312" w:cs="仿宋_GB2312"/>
          <w:sz w:val="32"/>
          <w:szCs w:val="32"/>
        </w:rPr>
        <w:t>有组织、有计划地安排专业教师加入省住建厅行业学会、协会相关组织，参加相关活动，有效增强人才培养与产业需求的针对性。</w:t>
      </w:r>
      <w:r>
        <w:rPr>
          <w:rFonts w:hint="eastAsia" w:ascii="仿宋_GB2312" w:hAnsi="仿宋" w:eastAsia="仿宋_GB2312"/>
          <w:sz w:val="32"/>
          <w:szCs w:val="32"/>
        </w:rPr>
        <w:t>推动出台《省住房和城乡建设厅助推学院发展意见》，形成相关工作机制，充分发挥行业办学主体作用。推动成立江苏城乡建设职业教育集团（联盟），积极参与省建设行业职业教育指导委员会相关工作，深入参与和推进集团化办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24.全力抓好“1+X</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与学分银行改革项目。深入贯彻落实“职教20条”文件精神，扎实推进学校“1+X”证书试点改革工作，在首批建筑信息模型（BIM）证书试点改革的基础上，深入开展第二批传感网应用开发证书试点改革，积极参与第三批建筑工程识图、装配式建筑构件制作与安装等八个证书的试点工作，通过“1+X”证书试点改革，不断深化我校复合型技术技能人才培养培训模式改革，切实增强适应区域产业升级和经济结构调整的能力，有效提升专业人才培养的适应性。高度关注并积极参与江苏省职业教育“学分银行”建设，提升学分银行学生填报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25.大力提升教育信息化与技能大赛工作水平。积极参与“江苏省教育信息化 2.0 行动计划”。探索5G 网络场景下的智慧教育应用，尝试启动“人工智能+教育”项目，策划校内云平台建设，提升师生信息素养。深化智慧校园建设，对照省级智慧校园标准，积极参与省级智慧校园示范校认定工作。加强校内各类信息平台整合，落实好网络安全责任制。充分发挥校内技能竞赛办公室的组织力量，积极开展校内专业技能大赛，提升省级以上职业技能大赛参与度，力争在2020 年全省、全国职业院校技能大赛、教学大赛中获奖取得更大突破。承办好省、国家级各项技能大赛，积极参与江苏省职业教育活动周各项活动。</w:t>
      </w:r>
    </w:p>
    <w:p>
      <w:pPr>
        <w:ind w:firstLine="640" w:firstLineChars="200"/>
        <w:rPr>
          <w:rFonts w:ascii="仿宋_GB2312" w:hAnsi="仿宋_GB2312" w:eastAsia="仿宋_GB2312" w:cs="仿宋_GB2312"/>
          <w:sz w:val="32"/>
          <w:szCs w:val="32"/>
        </w:rPr>
      </w:pPr>
      <w:bookmarkStart w:id="2" w:name="_Toc287777902"/>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推进国际化办学。坚持“引进来”与“走出去”双向国际化办学思路。2020年，积极创造条件，探索与东南亚、中亚等“一带一路”国家合作，完成招收留学生的各项准备工作。提升与英国索伦特大学合作水平，从单向生源输出、短期互访交流，逐步向课程与标准引进、师资定期培训转变，积极完善中英合作办学“专升本直通车”项目。加强与加拿大木业协会合作，进一步提升学校现代木结构技术技能人才培养能力和水平。充分发挥行业办学优势，主动对接省内具有海外工程承包资质的特级企业，通过校企合作参与企业海外项目外籍员工技术培训服务。加强教师国际化能力建设，</w:t>
      </w:r>
      <w:r>
        <w:rPr>
          <w:rFonts w:hint="eastAsia" w:ascii="仿宋_GB2312" w:hAnsi="仿宋" w:eastAsia="仿宋_GB2312"/>
          <w:sz w:val="32"/>
          <w:szCs w:val="32"/>
        </w:rPr>
        <w:t>设立教师海外研修校本项目，开展青年教师英语能力提升校本培训。</w:t>
      </w:r>
    </w:p>
    <w:p>
      <w:pPr>
        <w:ind w:firstLine="640" w:firstLineChars="200"/>
        <w:rPr>
          <w:rFonts w:ascii="黑体" w:hAnsi="黑体" w:eastAsia="黑体"/>
          <w:bCs/>
          <w:sz w:val="32"/>
          <w:szCs w:val="32"/>
        </w:rPr>
      </w:pPr>
      <w:r>
        <w:rPr>
          <w:rFonts w:hint="eastAsia" w:ascii="黑体" w:hAnsi="黑体" w:eastAsia="黑体"/>
          <w:bCs/>
          <w:sz w:val="32"/>
          <w:szCs w:val="32"/>
        </w:rPr>
        <w:t>八、彰显高校职能，提升科研与社会服务水平。</w:t>
      </w:r>
    </w:p>
    <w:p>
      <w:pPr>
        <w:spacing w:line="360" w:lineRule="auto"/>
        <w:ind w:firstLine="640" w:firstLineChars="200"/>
        <w:rPr>
          <w:rFonts w:ascii="仿宋_GB2312" w:hAnsi="仿宋" w:eastAsia="仿宋_GB2312"/>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.提升科研水平与成效。</w:t>
      </w:r>
      <w:r>
        <w:rPr>
          <w:rFonts w:hint="eastAsia" w:ascii="仿宋_GB2312" w:hAnsi="仿宋" w:eastAsia="仿宋_GB2312"/>
          <w:sz w:val="32"/>
          <w:szCs w:val="32"/>
        </w:rPr>
        <w:t>开展高水平科研团队建设，围绕高层次领军人才引培，在加强现有科研团队建设的基础上开展高水平科研团队培育工作，完善相关制度、创建科研平台，与企业、高校、科研院所多方联合，争取高水平科研项目，创造高水平科研成果。科学修订科研工作量计算办法，制订《重大科研成果奖励办法》、《科研先进评比办法》，为教师提供线上线下相结合的科研能力提升培训，开放校内实验实训资源，推进全员科研氛围持续形成。</w:t>
      </w:r>
      <w:r>
        <w:rPr>
          <w:rFonts w:hint="eastAsia" w:ascii="仿宋_GB2312" w:hAnsi="仿宋" w:eastAsia="仿宋_GB2312"/>
          <w:sz w:val="32"/>
          <w:szCs w:val="32"/>
          <w:lang w:eastAsia="zh-CN"/>
        </w:rPr>
        <w:t>力争</w:t>
      </w:r>
      <w:r>
        <w:rPr>
          <w:rFonts w:hint="eastAsia" w:ascii="仿宋_GB2312" w:hAnsi="仿宋" w:eastAsia="仿宋_GB2312"/>
          <w:sz w:val="32"/>
          <w:szCs w:val="32"/>
          <w:lang w:val="en-US" w:eastAsia="zh-CN"/>
        </w:rPr>
        <w:t>2020年各项各类科研成果较2019年有较大提升。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.积极开拓培训和三产市场。</w:t>
      </w:r>
      <w:r>
        <w:rPr>
          <w:rFonts w:hint="eastAsia" w:ascii="仿宋_GB2312" w:hAnsi="仿宋_GB2312" w:eastAsia="仿宋_GB2312" w:cs="仿宋_GB2312"/>
          <w:sz w:val="32"/>
          <w:szCs w:val="32"/>
        </w:rPr>
        <w:t>加强与行政管理部门、行业、企业和学生的联系，开拓市场、适应变革，推动培训与考试、成人学历教育、技能鉴定的持续发展。高度关注并积极参与“江苏学习在线”和“江苏终身教育学分银行”等平台和支持服务体系，积极参加江苏省2020 年全民终身学习周活动。制订并落实《继续教育学院教师队伍建设行动计划（2020-2021）》，着力打造专兼结合、素质优良的教师和考评员队伍。加快推进质量标准建设，形成覆盖所有培训项目、成人学历教育专业和技能鉴定工种，目标、内容、教材、教师和实践基地等要素清晰的标准体系。开展主题活动，强化行政人员市场意识、责任意识、规矩意识和服务意识。探索继续教育二级管理，培训项目的实施与管理分开，发挥二级学院、项目组的主体作用。深化送教上门、现场技能鉴定等服务方式，探索建立学校、企业和行业发展共同体。</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实验实训基地服务资质，扩大对外服务。争取室内环境检测等服务资质，拓展新型学徒制、第二技能证书等项目，不断增加服务项目、扩大服务规模、提高服务收入。力争2020年度学校技术合同成交额较2019年有较大提升。</w:t>
      </w:r>
    </w:p>
    <w:p>
      <w:pPr>
        <w:ind w:firstLine="640" w:firstLineChars="200"/>
        <w:rPr>
          <w:rFonts w:ascii="黑体" w:hAnsi="黑体" w:eastAsia="黑体"/>
          <w:bCs/>
          <w:sz w:val="32"/>
          <w:szCs w:val="32"/>
        </w:rPr>
      </w:pPr>
      <w:r>
        <w:rPr>
          <w:rFonts w:hint="eastAsia" w:ascii="黑体" w:hAnsi="黑体" w:eastAsia="黑体"/>
          <w:bCs/>
          <w:sz w:val="32"/>
          <w:szCs w:val="32"/>
        </w:rPr>
        <w:t>九、全力服务学生发展，扎实做好招生就业工作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提升服务学生发能力。以2020年江苏省高校书记项目全面打造“三色文化”育人体系，重视校级层面统筹规划、制度设计与机构建设，加强二级学院、班级层面的具体落实，进一步丰富“三色文化”内涵，完善大学生综合素质培养体系，促进学生全面发展。对照国家、省级大学各类素质文化、创新创业大赛，组织专门力量提前设计、提前规划，力求实现更多成果。大力提高学生的思想道德、科学人文、身体心理等素质，促进学生个性和自主发展。强化困难学生的教育管理，优化和完善“奖勤助贷”服务工作，为学生学习创造积极有利条件。加强辅导员增量提质工程，将队伍建设和学生管理目标协调统一。深化学风建设机制，将育人文化和学生管理文化协调统一。</w:t>
      </w:r>
      <w:bookmarkEnd w:id="2"/>
      <w:r>
        <w:rPr>
          <w:rFonts w:hint="eastAsia" w:ascii="仿宋_GB2312" w:hAnsi="仿宋_GB2312" w:eastAsia="仿宋_GB2312" w:cs="仿宋_GB2312"/>
          <w:sz w:val="32"/>
          <w:szCs w:val="32"/>
        </w:rPr>
        <w:t>优化学生社团，减少数量、提高质量。深入开展创新创业教育，加强众创空间建设。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稳步提高招生规模，不断提升就业工作水平。扩大高中后生源、合理压缩初中后生源，逐步实现高中后生源为主体的办学模式。实现2020年三年制高职招生2000人，五年制高职600人，确保2020年在校生总数超8000人，三年制高职在校生数超五年制高职。继续做好国家高职扩招计划落实工作。加大招生宣传力度，调整招生布局，拓宽招生途径，加强紧密型生源基地建设，建立跨部门的招生联席会议制度。加大政府部门、行业、企业合作，拓展就业渠道；构建就业协同工作机制，进一步强化二级学院就业促进功能，创新指导机制和服务模式，实现毕业生高质量就业和充分就业，毕业生离校就业率、初次就业率、和年终就业率不低于江苏省高质量发展要求。充分发挥招生与就业联动作用，实现招生就业“进口”与“出口”的良性循环。</w:t>
      </w:r>
    </w:p>
    <w:p>
      <w:pPr>
        <w:ind w:firstLine="640" w:firstLineChars="200"/>
        <w:rPr>
          <w:rFonts w:ascii="黑体" w:hAnsi="黑体" w:eastAsia="黑体"/>
          <w:bCs/>
          <w:sz w:val="32"/>
          <w:szCs w:val="32"/>
        </w:rPr>
      </w:pPr>
      <w:r>
        <w:rPr>
          <w:rFonts w:hint="eastAsia" w:ascii="黑体" w:hAnsi="黑体" w:eastAsia="黑体"/>
          <w:bCs/>
          <w:sz w:val="32"/>
          <w:szCs w:val="32"/>
        </w:rPr>
        <w:t>十、坚持做亮绿色发展品牌，深入推进质量保证体系建设。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做亮绿色发展品牌。积极准备绿色校园标识申报，积极与高校、科研院所合作开展绿色校园技术研究，积极参加国内国际绿色校园学术交流会议。健全和完善绿色校园运行管理制度，形成“上下结合、多方联动、全员参与”的绿色校园运行机制。探索具有城建学院特色的绿色教育模式。增设绿色校园、绿色建筑技术相关课程，普及各专业绿色通识课程教育，增强学生绿色生态环保意识。开展绿色部门、绿色班级、绿色宿舍评比工作，加强学生绿色社团建设，发挥师生在绿色学校创建中的主体作用。不断完善校园绿色科普资源建设，构建校园绿色生活积分系统，倡导师生绿色生活方式养成。</w:t>
      </w:r>
    </w:p>
    <w:p>
      <w:pPr>
        <w:spacing w:line="360" w:lineRule="auto"/>
        <w:ind w:firstLine="640" w:firstLineChars="200"/>
        <w:rPr>
          <w:rFonts w:ascii="仿宋_GB2312" w:hAnsi="仿宋" w:eastAsia="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.深入推进质量保证体系建设。深入推进质量保证体系建设。优化“1+8”诊改制度，完善诊改信息平台，强化工作过程的实时化、常态化诊断与改进。全面启动质量文化建设工程，</w:t>
      </w:r>
      <w:r>
        <w:rPr>
          <w:rFonts w:hint="eastAsia" w:ascii="仿宋_GB2312" w:hAnsi="仿宋" w:eastAsia="仿宋_GB2312"/>
          <w:sz w:val="32"/>
          <w:szCs w:val="32"/>
        </w:rPr>
        <w:t>通过组织质量主题培训、优化激励制度等提升全体教职员</w:t>
      </w:r>
      <w:r>
        <w:rPr>
          <w:rFonts w:hint="eastAsia" w:ascii="仿宋_GB2312" w:hAnsi="仿宋" w:eastAsia="仿宋_GB2312"/>
          <w:sz w:val="32"/>
          <w:szCs w:val="32"/>
          <w:lang w:eastAsia="zh-CN"/>
        </w:rPr>
        <w:t>工</w:t>
      </w:r>
      <w:r>
        <w:rPr>
          <w:rFonts w:hint="eastAsia" w:ascii="仿宋_GB2312" w:hAnsi="仿宋" w:eastAsia="仿宋_GB2312"/>
          <w:sz w:val="32"/>
          <w:szCs w:val="32"/>
        </w:rPr>
        <w:t>的质量认识和质量意识，通过开展“金课”评比、质量精品案例评选等活动，营造质量文化氛围。</w:t>
      </w:r>
      <w:r>
        <w:rPr>
          <w:rFonts w:hint="eastAsia" w:ascii="仿宋_GB2312" w:hAnsi="仿宋_GB2312" w:eastAsia="仿宋_GB2312" w:cs="仿宋_GB2312"/>
          <w:sz w:val="32"/>
          <w:szCs w:val="32"/>
        </w:rPr>
        <w:t>改革教学质量督导体制机制，厘清教学督导的职权和责任，创新教学督导的内容和方法，强化课堂教学质量管理。开展常态化诊改工作，关注质量生成过程。</w:t>
      </w:r>
      <w:r>
        <w:rPr>
          <w:rFonts w:hint="eastAsia" w:ascii="仿宋_GB2312" w:hAnsi="仿宋" w:eastAsia="仿宋_GB2312"/>
          <w:sz w:val="32"/>
          <w:szCs w:val="32"/>
        </w:rPr>
        <w:t>通过召开年度工作质量分析大会等形式，对学校专业建设质量、人才培养质量等进行分析，提出整改要求，持续改进教育教学质量</w:t>
      </w:r>
      <w:r>
        <w:rPr>
          <w:rFonts w:hint="eastAsia" w:ascii="仿宋_GB2312" w:hAnsi="仿宋" w:eastAsia="仿宋_GB2312"/>
          <w:sz w:val="32"/>
          <w:szCs w:val="32"/>
          <w:lang w:eastAsia="zh-CN"/>
        </w:rPr>
        <w:t>，</w:t>
      </w:r>
      <w:r>
        <w:rPr>
          <w:rFonts w:hint="eastAsia" w:ascii="仿宋_GB2312" w:hAnsi="仿宋" w:eastAsia="仿宋_GB2312"/>
          <w:sz w:val="32"/>
          <w:szCs w:val="32"/>
        </w:rPr>
        <w:t>强化课堂教学质量保证。加强专兼职督导员队伍建设，聘请3-5名专职督导员，常态化、实质性开展课堂教学质量督导工作。修订完善课堂教学质量保证制度，理清课堂教学质量保证的主体、责任和机制，构建课堂教学质量保证体系。</w:t>
      </w:r>
    </w:p>
    <w:p>
      <w:pPr>
        <w:ind w:firstLine="640" w:firstLineChars="200"/>
        <w:rPr>
          <w:rFonts w:ascii="黑体" w:hAnsi="黑体" w:eastAsia="黑体"/>
          <w:bCs/>
          <w:sz w:val="32"/>
          <w:szCs w:val="32"/>
        </w:rPr>
      </w:pPr>
      <w:r>
        <w:rPr>
          <w:rFonts w:hint="eastAsia" w:ascii="黑体" w:hAnsi="黑体" w:eastAsia="黑体"/>
          <w:bCs/>
          <w:sz w:val="32"/>
          <w:szCs w:val="32"/>
        </w:rPr>
        <w:t>十一、努力改善办学条件，做好后勤保障工作。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不断提升办学资源水平。加快推进智慧校园建设，优化信息基础设施环境，促进信息技术手段在教学、管理、服务等诸领域的泛在应用，方便广大师生工作、学习和生活。提升财务管理与服务水平，完成内控体系建设。改善教学环境，逐步实施教学硬件设施设备更新。加强图书馆馆藏建设，丰富馆藏图书种类，运行好“文心”书房，加大图书馆文化布置和设施设备投入，把图书馆建成师生最向往的“精神家园”。</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持续提升后勤保障服务工作水平。做好校园绿化、美化工作和校园文化设施建设，进一步增强校园环境育人功能。坚持“三服务两育人”宗旨，实施高水平后勤保障能力建设，加强对委外后勤服务企业监督考核，不断提升师生对后勤服务的满意度。深入开展“平安校园”建设，保障安全管理技防、物防投入，定期开展各项应急预案演练，杜绝各类安全责任事故发生，坚决打击面向学生的违法犯罪行为，增强广大师生安全感。持续深化教师工作量等人事分配制度改革，稳步提高教职工收入，重视师生身心健康，关爱和帮助特殊困难师生。</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0" w:firstLineChars="0"/>
        <w:rPr>
          <w:rFonts w:hint="eastAsia" w:ascii="仿宋_GB2312" w:hAnsi="仿宋_GB2312" w:eastAsia="仿宋_GB2312" w:cs="仿宋_GB2312"/>
          <w:sz w:val="32"/>
          <w:szCs w:val="32"/>
        </w:rPr>
      </w:pPr>
    </w:p>
    <w:p>
      <w:pPr>
        <w:ind w:firstLine="0" w:firstLineChars="0"/>
        <w:rPr>
          <w:rFonts w:hint="eastAsia" w:ascii="仿宋_GB2312" w:hAnsi="仿宋_GB2312" w:eastAsia="仿宋_GB2312" w:cs="仿宋_GB2312"/>
          <w:sz w:val="32"/>
          <w:szCs w:val="32"/>
        </w:rPr>
      </w:pPr>
    </w:p>
    <w:p>
      <w:pPr>
        <w:jc w:val="center"/>
        <w:rPr>
          <w:rFonts w:ascii="方正小标宋简体" w:eastAsia="方正小标宋简体"/>
          <w:sz w:val="36"/>
          <w:szCs w:val="36"/>
        </w:rPr>
      </w:pPr>
      <w:r>
        <w:rPr>
          <w:rFonts w:hint="eastAsia" w:ascii="方正小标宋简体" w:eastAsia="方正小标宋简体"/>
          <w:sz w:val="36"/>
          <w:szCs w:val="36"/>
        </w:rPr>
        <w:t>江苏城乡建设职业学院</w:t>
      </w:r>
    </w:p>
    <w:p>
      <w:pPr>
        <w:jc w:val="center"/>
        <w:rPr>
          <w:rFonts w:ascii="方正小标宋简体" w:eastAsia="方正小标宋简体"/>
          <w:sz w:val="36"/>
          <w:szCs w:val="36"/>
        </w:rPr>
      </w:pPr>
      <w:r>
        <w:rPr>
          <w:rFonts w:ascii="方正小标宋简体" w:eastAsia="方正小标宋简体"/>
          <w:sz w:val="36"/>
          <w:szCs w:val="36"/>
        </w:rPr>
        <w:t>20</w:t>
      </w:r>
      <w:r>
        <w:rPr>
          <w:rFonts w:hint="eastAsia" w:ascii="方正小标宋简体" w:eastAsia="方正小标宋简体"/>
          <w:sz w:val="36"/>
          <w:szCs w:val="36"/>
        </w:rPr>
        <w:t>20年主要工作任务分解表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1072"/>
        <w:gridCol w:w="2977"/>
        <w:gridCol w:w="1025"/>
        <w:gridCol w:w="1227"/>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4" w:type="dxa"/>
            <w:noWrap w:val="0"/>
            <w:vAlign w:val="center"/>
          </w:tcPr>
          <w:p>
            <w:pPr>
              <w:spacing w:line="360" w:lineRule="exact"/>
              <w:jc w:val="center"/>
              <w:rPr>
                <w:rFonts w:ascii="黑体" w:eastAsia="黑体"/>
                <w:kern w:val="0"/>
                <w:sz w:val="20"/>
                <w:szCs w:val="21"/>
              </w:rPr>
            </w:pPr>
            <w:r>
              <w:rPr>
                <w:rFonts w:hint="eastAsia" w:ascii="黑体" w:eastAsia="黑体"/>
                <w:kern w:val="0"/>
                <w:sz w:val="20"/>
                <w:szCs w:val="21"/>
              </w:rPr>
              <w:t>序号</w:t>
            </w:r>
          </w:p>
        </w:tc>
        <w:tc>
          <w:tcPr>
            <w:tcW w:w="1072" w:type="dxa"/>
            <w:noWrap w:val="0"/>
            <w:vAlign w:val="center"/>
          </w:tcPr>
          <w:p>
            <w:pPr>
              <w:spacing w:line="360" w:lineRule="exact"/>
              <w:jc w:val="center"/>
              <w:rPr>
                <w:rFonts w:ascii="黑体" w:eastAsia="黑体"/>
                <w:kern w:val="0"/>
                <w:sz w:val="20"/>
                <w:szCs w:val="21"/>
              </w:rPr>
            </w:pPr>
            <w:r>
              <w:rPr>
                <w:rFonts w:hint="eastAsia" w:ascii="黑体" w:eastAsia="黑体"/>
                <w:kern w:val="0"/>
                <w:sz w:val="20"/>
                <w:szCs w:val="21"/>
              </w:rPr>
              <w:t>名称</w:t>
            </w:r>
          </w:p>
        </w:tc>
        <w:tc>
          <w:tcPr>
            <w:tcW w:w="2977" w:type="dxa"/>
            <w:noWrap w:val="0"/>
            <w:vAlign w:val="center"/>
          </w:tcPr>
          <w:p>
            <w:pPr>
              <w:spacing w:line="360" w:lineRule="exact"/>
              <w:jc w:val="center"/>
              <w:rPr>
                <w:rFonts w:ascii="黑体" w:eastAsia="黑体"/>
                <w:kern w:val="0"/>
                <w:sz w:val="20"/>
                <w:szCs w:val="21"/>
              </w:rPr>
            </w:pPr>
            <w:r>
              <w:rPr>
                <w:rFonts w:hint="eastAsia" w:ascii="黑体" w:eastAsia="黑体"/>
                <w:kern w:val="0"/>
                <w:sz w:val="20"/>
                <w:szCs w:val="21"/>
              </w:rPr>
              <w:t>内容</w:t>
            </w:r>
          </w:p>
        </w:tc>
        <w:tc>
          <w:tcPr>
            <w:tcW w:w="1025" w:type="dxa"/>
            <w:noWrap w:val="0"/>
            <w:vAlign w:val="center"/>
          </w:tcPr>
          <w:p>
            <w:pPr>
              <w:spacing w:line="360" w:lineRule="exact"/>
              <w:jc w:val="center"/>
              <w:rPr>
                <w:rFonts w:ascii="黑体" w:eastAsia="黑体"/>
                <w:kern w:val="0"/>
                <w:sz w:val="20"/>
                <w:szCs w:val="21"/>
              </w:rPr>
            </w:pPr>
            <w:r>
              <w:rPr>
                <w:rFonts w:hint="eastAsia" w:ascii="黑体" w:eastAsia="黑体"/>
                <w:kern w:val="0"/>
                <w:sz w:val="20"/>
                <w:szCs w:val="21"/>
              </w:rPr>
              <w:t>完成时间</w:t>
            </w:r>
          </w:p>
        </w:tc>
        <w:tc>
          <w:tcPr>
            <w:tcW w:w="1227" w:type="dxa"/>
            <w:noWrap w:val="0"/>
            <w:vAlign w:val="center"/>
          </w:tcPr>
          <w:p>
            <w:pPr>
              <w:spacing w:line="360" w:lineRule="exact"/>
              <w:jc w:val="center"/>
              <w:rPr>
                <w:rFonts w:ascii="黑体" w:eastAsia="黑体"/>
                <w:kern w:val="0"/>
                <w:sz w:val="20"/>
                <w:szCs w:val="21"/>
              </w:rPr>
            </w:pPr>
            <w:r>
              <w:rPr>
                <w:rFonts w:hint="eastAsia" w:ascii="黑体" w:eastAsia="黑体"/>
                <w:kern w:val="0"/>
                <w:sz w:val="20"/>
                <w:szCs w:val="21"/>
              </w:rPr>
              <w:t>责任领导</w:t>
            </w:r>
          </w:p>
        </w:tc>
        <w:tc>
          <w:tcPr>
            <w:tcW w:w="1767" w:type="dxa"/>
            <w:noWrap w:val="0"/>
            <w:vAlign w:val="center"/>
          </w:tcPr>
          <w:p>
            <w:pPr>
              <w:spacing w:line="360" w:lineRule="exact"/>
              <w:jc w:val="center"/>
              <w:rPr>
                <w:rFonts w:ascii="黑体" w:eastAsia="黑体"/>
                <w:kern w:val="0"/>
                <w:sz w:val="20"/>
                <w:szCs w:val="21"/>
              </w:rPr>
            </w:pPr>
            <w:r>
              <w:rPr>
                <w:rFonts w:hint="eastAsia" w:ascii="黑体" w:eastAsia="黑体"/>
                <w:kern w:val="0"/>
                <w:sz w:val="20"/>
                <w:szCs w:val="21"/>
              </w:rPr>
              <w:t>职能部门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454" w:type="dxa"/>
            <w:vMerge w:val="restart"/>
            <w:noWrap w:val="0"/>
            <w:vAlign w:val="center"/>
          </w:tcPr>
          <w:p>
            <w:pPr>
              <w:spacing w:line="360" w:lineRule="exact"/>
              <w:jc w:val="center"/>
              <w:rPr>
                <w:rFonts w:ascii="仿宋_GB2312" w:eastAsia="仿宋_GB2312"/>
                <w:kern w:val="0"/>
                <w:sz w:val="20"/>
                <w:szCs w:val="21"/>
              </w:rPr>
            </w:pPr>
            <w:r>
              <w:rPr>
                <w:rFonts w:ascii="仿宋_GB2312" w:eastAsia="仿宋_GB2312"/>
                <w:kern w:val="0"/>
                <w:sz w:val="20"/>
                <w:szCs w:val="21"/>
              </w:rPr>
              <w:t>1</w:t>
            </w:r>
          </w:p>
        </w:tc>
        <w:tc>
          <w:tcPr>
            <w:tcW w:w="1072" w:type="dxa"/>
            <w:vMerge w:val="restart"/>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党建提升工作</w:t>
            </w: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增强“四个意识”坚定“四个自信”做到“两个维护”</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全年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孙晓文</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各基层党组织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454" w:type="dxa"/>
            <w:vMerge w:val="continue"/>
            <w:noWrap w:val="0"/>
            <w:vAlign w:val="center"/>
          </w:tcPr>
          <w:p>
            <w:pPr>
              <w:spacing w:line="360" w:lineRule="exact"/>
              <w:jc w:val="center"/>
              <w:rPr>
                <w:rFonts w:ascii="仿宋_GB2312" w:eastAsia="仿宋_GB2312"/>
                <w:kern w:val="0"/>
                <w:sz w:val="20"/>
                <w:szCs w:val="21"/>
              </w:rPr>
            </w:pPr>
          </w:p>
        </w:tc>
        <w:tc>
          <w:tcPr>
            <w:tcW w:w="1072" w:type="dxa"/>
            <w:vMerge w:val="continue"/>
            <w:noWrap w:val="0"/>
            <w:vAlign w:val="center"/>
          </w:tcPr>
          <w:p>
            <w:pPr>
              <w:spacing w:line="360" w:lineRule="exact"/>
              <w:jc w:val="center"/>
              <w:rPr>
                <w:rFonts w:ascii="仿宋_GB2312" w:eastAsia="仿宋_GB2312"/>
                <w:kern w:val="0"/>
                <w:sz w:val="20"/>
                <w:szCs w:val="21"/>
              </w:rPr>
            </w:pP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落实意识形态工作责任制</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全年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闵亚琴</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各基层党组织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454" w:type="dxa"/>
            <w:vMerge w:val="continue"/>
            <w:noWrap w:val="0"/>
            <w:vAlign w:val="center"/>
          </w:tcPr>
          <w:p>
            <w:pPr>
              <w:spacing w:line="360" w:lineRule="exact"/>
              <w:jc w:val="center"/>
              <w:rPr>
                <w:rFonts w:ascii="仿宋_GB2312" w:eastAsia="仿宋_GB2312"/>
                <w:kern w:val="0"/>
                <w:sz w:val="20"/>
                <w:szCs w:val="21"/>
              </w:rPr>
            </w:pPr>
          </w:p>
        </w:tc>
        <w:tc>
          <w:tcPr>
            <w:tcW w:w="1072" w:type="dxa"/>
            <w:vMerge w:val="continue"/>
            <w:noWrap w:val="0"/>
            <w:vAlign w:val="center"/>
          </w:tcPr>
          <w:p>
            <w:pPr>
              <w:spacing w:line="360" w:lineRule="exact"/>
              <w:jc w:val="center"/>
              <w:rPr>
                <w:rFonts w:ascii="仿宋_GB2312" w:eastAsia="仿宋_GB2312"/>
                <w:kern w:val="0"/>
                <w:sz w:val="20"/>
                <w:szCs w:val="21"/>
              </w:rPr>
            </w:pP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落实省教育工委加强政治建设要求</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全年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孙晓文</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各基层党组织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4" w:type="dxa"/>
            <w:vMerge w:val="continue"/>
            <w:noWrap w:val="0"/>
            <w:vAlign w:val="center"/>
          </w:tcPr>
          <w:p>
            <w:pPr>
              <w:spacing w:line="360" w:lineRule="exact"/>
              <w:jc w:val="center"/>
              <w:rPr>
                <w:rFonts w:ascii="仿宋_GB2312" w:eastAsia="仿宋_GB2312"/>
                <w:kern w:val="0"/>
                <w:sz w:val="20"/>
                <w:szCs w:val="21"/>
              </w:rPr>
            </w:pPr>
          </w:p>
        </w:tc>
        <w:tc>
          <w:tcPr>
            <w:tcW w:w="1072" w:type="dxa"/>
            <w:vMerge w:val="continue"/>
            <w:noWrap w:val="0"/>
            <w:vAlign w:val="center"/>
          </w:tcPr>
          <w:p>
            <w:pPr>
              <w:spacing w:line="360" w:lineRule="exact"/>
              <w:jc w:val="center"/>
              <w:rPr>
                <w:rFonts w:ascii="仿宋_GB2312" w:eastAsia="仿宋_GB2312"/>
                <w:kern w:val="0"/>
                <w:sz w:val="20"/>
                <w:szCs w:val="21"/>
              </w:rPr>
            </w:pP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常态化推进“不忘初心、牢记使命”主题教育</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全年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孙晓文</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各基层党组织，各部门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4" w:type="dxa"/>
            <w:vMerge w:val="continue"/>
            <w:noWrap w:val="0"/>
            <w:vAlign w:val="center"/>
          </w:tcPr>
          <w:p>
            <w:pPr>
              <w:spacing w:line="360" w:lineRule="exact"/>
              <w:jc w:val="center"/>
              <w:rPr>
                <w:rFonts w:ascii="仿宋_GB2312" w:eastAsia="仿宋_GB2312"/>
                <w:kern w:val="0"/>
                <w:sz w:val="20"/>
                <w:szCs w:val="21"/>
              </w:rPr>
            </w:pPr>
          </w:p>
        </w:tc>
        <w:tc>
          <w:tcPr>
            <w:tcW w:w="1072" w:type="dxa"/>
            <w:vMerge w:val="continue"/>
            <w:noWrap w:val="0"/>
            <w:vAlign w:val="center"/>
          </w:tcPr>
          <w:p>
            <w:pPr>
              <w:spacing w:line="360" w:lineRule="exact"/>
              <w:jc w:val="center"/>
              <w:rPr>
                <w:rFonts w:ascii="仿宋_GB2312" w:eastAsia="仿宋_GB2312"/>
                <w:kern w:val="0"/>
                <w:sz w:val="20"/>
                <w:szCs w:val="21"/>
              </w:rPr>
            </w:pP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学习贯彻习近平新时代中国特色社会主义思想</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全年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闵亚琴</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4" w:type="dxa"/>
            <w:vMerge w:val="continue"/>
            <w:noWrap w:val="0"/>
            <w:vAlign w:val="center"/>
          </w:tcPr>
          <w:p>
            <w:pPr>
              <w:spacing w:line="360" w:lineRule="exact"/>
              <w:jc w:val="center"/>
              <w:rPr>
                <w:rFonts w:ascii="仿宋_GB2312" w:eastAsia="仿宋_GB2312"/>
                <w:kern w:val="0"/>
                <w:sz w:val="20"/>
                <w:szCs w:val="21"/>
              </w:rPr>
            </w:pPr>
          </w:p>
        </w:tc>
        <w:tc>
          <w:tcPr>
            <w:tcW w:w="1072" w:type="dxa"/>
            <w:vMerge w:val="continue"/>
            <w:noWrap w:val="0"/>
            <w:vAlign w:val="center"/>
          </w:tcPr>
          <w:p>
            <w:pPr>
              <w:spacing w:line="360" w:lineRule="exact"/>
              <w:jc w:val="center"/>
              <w:rPr>
                <w:rFonts w:ascii="仿宋_GB2312" w:eastAsia="仿宋_GB2312"/>
                <w:kern w:val="0"/>
                <w:sz w:val="20"/>
                <w:szCs w:val="21"/>
              </w:rPr>
            </w:pP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加强党员培训教育</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全年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周炜炜</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组织人事处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4" w:type="dxa"/>
            <w:vMerge w:val="continue"/>
            <w:noWrap w:val="0"/>
            <w:vAlign w:val="center"/>
          </w:tcPr>
          <w:p>
            <w:pPr>
              <w:spacing w:line="360" w:lineRule="exact"/>
              <w:jc w:val="center"/>
              <w:rPr>
                <w:rFonts w:ascii="仿宋_GB2312" w:eastAsia="仿宋_GB2312"/>
                <w:kern w:val="0"/>
                <w:sz w:val="20"/>
                <w:szCs w:val="21"/>
              </w:rPr>
            </w:pPr>
          </w:p>
        </w:tc>
        <w:tc>
          <w:tcPr>
            <w:tcW w:w="1072" w:type="dxa"/>
            <w:vMerge w:val="continue"/>
            <w:noWrap w:val="0"/>
            <w:vAlign w:val="center"/>
          </w:tcPr>
          <w:p>
            <w:pPr>
              <w:spacing w:line="360" w:lineRule="exact"/>
              <w:jc w:val="center"/>
              <w:rPr>
                <w:rFonts w:ascii="仿宋_GB2312" w:eastAsia="仿宋_GB2312"/>
                <w:kern w:val="0"/>
                <w:sz w:val="20"/>
                <w:szCs w:val="21"/>
              </w:rPr>
            </w:pP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提升基层党组织党建工作质量</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全年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孙晓文</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组织人事处、宣传部、纪委办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4" w:type="dxa"/>
            <w:vMerge w:val="continue"/>
            <w:noWrap w:val="0"/>
            <w:vAlign w:val="center"/>
          </w:tcPr>
          <w:p>
            <w:pPr>
              <w:spacing w:line="360" w:lineRule="exact"/>
              <w:jc w:val="center"/>
              <w:rPr>
                <w:rFonts w:ascii="仿宋_GB2312" w:eastAsia="仿宋_GB2312"/>
                <w:kern w:val="0"/>
                <w:sz w:val="20"/>
                <w:szCs w:val="21"/>
              </w:rPr>
            </w:pPr>
          </w:p>
        </w:tc>
        <w:tc>
          <w:tcPr>
            <w:tcW w:w="1072" w:type="dxa"/>
            <w:vMerge w:val="continue"/>
            <w:noWrap w:val="0"/>
            <w:vAlign w:val="center"/>
          </w:tcPr>
          <w:p>
            <w:pPr>
              <w:spacing w:line="360" w:lineRule="exact"/>
              <w:jc w:val="center"/>
              <w:rPr>
                <w:rFonts w:ascii="仿宋_GB2312" w:eastAsia="仿宋_GB2312"/>
                <w:kern w:val="0"/>
                <w:sz w:val="20"/>
                <w:szCs w:val="21"/>
              </w:rPr>
            </w:pP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 xml:space="preserve">弘扬城建精神，宣传城建文化 </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全年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闵亚琴</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4" w:type="dxa"/>
            <w:vMerge w:val="continue"/>
            <w:noWrap w:val="0"/>
            <w:vAlign w:val="center"/>
          </w:tcPr>
          <w:p>
            <w:pPr>
              <w:spacing w:line="360" w:lineRule="exact"/>
              <w:jc w:val="center"/>
              <w:rPr>
                <w:rFonts w:ascii="仿宋_GB2312" w:eastAsia="仿宋_GB2312"/>
                <w:kern w:val="0"/>
                <w:sz w:val="20"/>
                <w:szCs w:val="21"/>
              </w:rPr>
            </w:pPr>
          </w:p>
        </w:tc>
        <w:tc>
          <w:tcPr>
            <w:tcW w:w="1072" w:type="dxa"/>
            <w:vMerge w:val="continue"/>
            <w:noWrap w:val="0"/>
            <w:vAlign w:val="center"/>
          </w:tcPr>
          <w:p>
            <w:pPr>
              <w:spacing w:line="360" w:lineRule="exact"/>
              <w:jc w:val="center"/>
              <w:rPr>
                <w:rFonts w:ascii="仿宋_GB2312" w:eastAsia="仿宋_GB2312"/>
                <w:kern w:val="0"/>
                <w:sz w:val="20"/>
                <w:szCs w:val="21"/>
              </w:rPr>
            </w:pP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深化党员领导干部作风建设、开展校内巡察</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全年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朱仁良</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纪委办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4" w:type="dxa"/>
            <w:vMerge w:val="continue"/>
            <w:noWrap w:val="0"/>
            <w:vAlign w:val="center"/>
          </w:tcPr>
          <w:p>
            <w:pPr>
              <w:spacing w:line="360" w:lineRule="exact"/>
              <w:jc w:val="center"/>
              <w:rPr>
                <w:rFonts w:ascii="仿宋_GB2312" w:eastAsia="仿宋_GB2312"/>
                <w:kern w:val="0"/>
                <w:sz w:val="20"/>
                <w:szCs w:val="21"/>
              </w:rPr>
            </w:pPr>
          </w:p>
        </w:tc>
        <w:tc>
          <w:tcPr>
            <w:tcW w:w="1072" w:type="dxa"/>
            <w:vMerge w:val="continue"/>
            <w:noWrap w:val="0"/>
            <w:vAlign w:val="center"/>
          </w:tcPr>
          <w:p>
            <w:pPr>
              <w:spacing w:line="360" w:lineRule="exact"/>
              <w:jc w:val="center"/>
              <w:rPr>
                <w:rFonts w:ascii="仿宋_GB2312" w:eastAsia="仿宋_GB2312"/>
                <w:kern w:val="0"/>
                <w:sz w:val="20"/>
                <w:szCs w:val="21"/>
              </w:rPr>
            </w:pP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开展党风廉政建设</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全年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朱仁良</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纪委办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4" w:type="dxa"/>
            <w:vMerge w:val="continue"/>
            <w:noWrap w:val="0"/>
            <w:vAlign w:val="center"/>
          </w:tcPr>
          <w:p>
            <w:pPr>
              <w:spacing w:line="360" w:lineRule="exact"/>
              <w:jc w:val="center"/>
              <w:rPr>
                <w:rFonts w:ascii="仿宋_GB2312" w:eastAsia="仿宋_GB2312"/>
                <w:kern w:val="0"/>
                <w:sz w:val="20"/>
                <w:szCs w:val="21"/>
              </w:rPr>
            </w:pPr>
          </w:p>
        </w:tc>
        <w:tc>
          <w:tcPr>
            <w:tcW w:w="1072" w:type="dxa"/>
            <w:vMerge w:val="continue"/>
            <w:noWrap w:val="0"/>
            <w:vAlign w:val="center"/>
          </w:tcPr>
          <w:p>
            <w:pPr>
              <w:spacing w:line="360" w:lineRule="exact"/>
              <w:jc w:val="center"/>
              <w:rPr>
                <w:rFonts w:ascii="仿宋_GB2312" w:eastAsia="仿宋_GB2312"/>
                <w:kern w:val="0"/>
                <w:sz w:val="20"/>
                <w:szCs w:val="21"/>
              </w:rPr>
            </w:pP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加强统战工作</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全年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周炜炜</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4" w:type="dxa"/>
            <w:vMerge w:val="continue"/>
            <w:noWrap w:val="0"/>
            <w:vAlign w:val="center"/>
          </w:tcPr>
          <w:p>
            <w:pPr>
              <w:spacing w:line="360" w:lineRule="exact"/>
              <w:jc w:val="center"/>
              <w:rPr>
                <w:rFonts w:ascii="仿宋_GB2312" w:eastAsia="仿宋_GB2312"/>
                <w:kern w:val="0"/>
                <w:sz w:val="20"/>
                <w:szCs w:val="21"/>
              </w:rPr>
            </w:pPr>
          </w:p>
        </w:tc>
        <w:tc>
          <w:tcPr>
            <w:tcW w:w="1072" w:type="dxa"/>
            <w:vMerge w:val="continue"/>
            <w:noWrap w:val="0"/>
            <w:vAlign w:val="center"/>
          </w:tcPr>
          <w:p>
            <w:pPr>
              <w:spacing w:line="360" w:lineRule="exact"/>
              <w:jc w:val="center"/>
              <w:rPr>
                <w:rFonts w:ascii="仿宋_GB2312" w:eastAsia="仿宋_GB2312"/>
                <w:kern w:val="0"/>
                <w:sz w:val="20"/>
                <w:szCs w:val="21"/>
              </w:rPr>
            </w:pP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“十大育人体系“书记项目</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全年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孙晓文</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党政办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4"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2</w:t>
            </w:r>
          </w:p>
        </w:tc>
        <w:tc>
          <w:tcPr>
            <w:tcW w:w="1072"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疫情防控</w:t>
            </w: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打好疫情防控阻击战</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全年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孙晓文、黄志良</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454" w:type="dxa"/>
            <w:vMerge w:val="restart"/>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3</w:t>
            </w:r>
          </w:p>
        </w:tc>
        <w:tc>
          <w:tcPr>
            <w:tcW w:w="1072" w:type="dxa"/>
            <w:vMerge w:val="restart"/>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评估整改与高质量发展</w:t>
            </w: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评估整改方案制订</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5月</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黄志良</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评建办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454" w:type="dxa"/>
            <w:vMerge w:val="continue"/>
            <w:noWrap w:val="0"/>
            <w:vAlign w:val="center"/>
          </w:tcPr>
          <w:p>
            <w:pPr>
              <w:spacing w:line="360" w:lineRule="exact"/>
              <w:jc w:val="center"/>
              <w:rPr>
                <w:rFonts w:ascii="仿宋_GB2312" w:eastAsia="仿宋_GB2312"/>
                <w:kern w:val="0"/>
                <w:sz w:val="20"/>
                <w:szCs w:val="21"/>
              </w:rPr>
            </w:pPr>
          </w:p>
        </w:tc>
        <w:tc>
          <w:tcPr>
            <w:tcW w:w="1072" w:type="dxa"/>
            <w:vMerge w:val="continue"/>
            <w:noWrap w:val="0"/>
            <w:vAlign w:val="center"/>
          </w:tcPr>
          <w:p>
            <w:pPr>
              <w:spacing w:line="360" w:lineRule="exact"/>
              <w:jc w:val="center"/>
              <w:rPr>
                <w:rFonts w:ascii="仿宋_GB2312" w:eastAsia="仿宋_GB2312"/>
                <w:kern w:val="0"/>
                <w:sz w:val="20"/>
                <w:szCs w:val="21"/>
              </w:rPr>
            </w:pP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评估整改工作落实</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全年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黄志良</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评建办、各部门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454" w:type="dxa"/>
            <w:vMerge w:val="continue"/>
            <w:noWrap w:val="0"/>
            <w:vAlign w:val="center"/>
          </w:tcPr>
          <w:p>
            <w:pPr>
              <w:spacing w:line="360" w:lineRule="exact"/>
              <w:jc w:val="center"/>
              <w:rPr>
                <w:rFonts w:ascii="仿宋_GB2312" w:eastAsia="仿宋_GB2312"/>
                <w:kern w:val="0"/>
                <w:sz w:val="20"/>
                <w:szCs w:val="21"/>
              </w:rPr>
            </w:pPr>
          </w:p>
        </w:tc>
        <w:tc>
          <w:tcPr>
            <w:tcW w:w="1072" w:type="dxa"/>
            <w:vMerge w:val="continue"/>
            <w:noWrap w:val="0"/>
            <w:vAlign w:val="center"/>
          </w:tcPr>
          <w:p>
            <w:pPr>
              <w:spacing w:line="360" w:lineRule="exact"/>
              <w:jc w:val="center"/>
              <w:rPr>
                <w:rFonts w:ascii="仿宋_GB2312" w:eastAsia="仿宋_GB2312"/>
                <w:kern w:val="0"/>
                <w:sz w:val="20"/>
                <w:szCs w:val="21"/>
              </w:rPr>
            </w:pP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江苏省高校综合考核项目提升</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全年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孙晓文、黄志良</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党政办、各部门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454" w:type="dxa"/>
            <w:vMerge w:val="continue"/>
            <w:noWrap w:val="0"/>
            <w:vAlign w:val="center"/>
          </w:tcPr>
          <w:p>
            <w:pPr>
              <w:spacing w:line="360" w:lineRule="exact"/>
              <w:jc w:val="center"/>
              <w:rPr>
                <w:rFonts w:ascii="仿宋_GB2312" w:eastAsia="仿宋_GB2312"/>
                <w:kern w:val="0"/>
                <w:sz w:val="20"/>
                <w:szCs w:val="21"/>
              </w:rPr>
            </w:pPr>
          </w:p>
        </w:tc>
        <w:tc>
          <w:tcPr>
            <w:tcW w:w="1072" w:type="dxa"/>
            <w:vMerge w:val="continue"/>
            <w:noWrap w:val="0"/>
            <w:vAlign w:val="center"/>
          </w:tcPr>
          <w:p>
            <w:pPr>
              <w:spacing w:line="360" w:lineRule="exact"/>
              <w:jc w:val="center"/>
              <w:rPr>
                <w:rFonts w:ascii="仿宋_GB2312" w:eastAsia="仿宋_GB2312"/>
                <w:kern w:val="0"/>
                <w:sz w:val="20"/>
                <w:szCs w:val="21"/>
              </w:rPr>
            </w:pP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完成“十三五”规划总结</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全年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黄志良</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党政办、各部门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454" w:type="dxa"/>
            <w:vMerge w:val="continue"/>
            <w:noWrap w:val="0"/>
            <w:vAlign w:val="center"/>
          </w:tcPr>
          <w:p>
            <w:pPr>
              <w:spacing w:line="360" w:lineRule="exact"/>
              <w:jc w:val="center"/>
              <w:rPr>
                <w:rFonts w:ascii="仿宋_GB2312" w:eastAsia="仿宋_GB2312"/>
                <w:kern w:val="0"/>
                <w:sz w:val="20"/>
                <w:szCs w:val="21"/>
              </w:rPr>
            </w:pPr>
          </w:p>
        </w:tc>
        <w:tc>
          <w:tcPr>
            <w:tcW w:w="1072" w:type="dxa"/>
            <w:vMerge w:val="continue"/>
            <w:noWrap w:val="0"/>
            <w:vAlign w:val="center"/>
          </w:tcPr>
          <w:p>
            <w:pPr>
              <w:spacing w:line="360" w:lineRule="exact"/>
              <w:jc w:val="center"/>
              <w:rPr>
                <w:rFonts w:ascii="仿宋_GB2312" w:eastAsia="仿宋_GB2312"/>
                <w:kern w:val="0"/>
                <w:sz w:val="20"/>
                <w:szCs w:val="21"/>
              </w:rPr>
            </w:pP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启动“十四五”规划编制</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下半年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黄志良</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党政办、各部门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454" w:type="dxa"/>
            <w:vMerge w:val="restart"/>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4</w:t>
            </w:r>
          </w:p>
        </w:tc>
        <w:tc>
          <w:tcPr>
            <w:tcW w:w="1072" w:type="dxa"/>
            <w:vMerge w:val="restart"/>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内部治理</w:t>
            </w: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修订党委会、院长办公会议事规则</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上半年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孙晓文、黄志良</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党政办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454" w:type="dxa"/>
            <w:vMerge w:val="continue"/>
            <w:noWrap w:val="0"/>
            <w:vAlign w:val="center"/>
          </w:tcPr>
          <w:p>
            <w:pPr>
              <w:spacing w:line="360" w:lineRule="exact"/>
              <w:jc w:val="center"/>
              <w:rPr>
                <w:rFonts w:ascii="仿宋_GB2312" w:eastAsia="仿宋_GB2312"/>
                <w:kern w:val="0"/>
                <w:sz w:val="20"/>
                <w:szCs w:val="21"/>
              </w:rPr>
            </w:pPr>
          </w:p>
        </w:tc>
        <w:tc>
          <w:tcPr>
            <w:tcW w:w="1072" w:type="dxa"/>
            <w:vMerge w:val="continue"/>
            <w:noWrap w:val="0"/>
            <w:vAlign w:val="center"/>
          </w:tcPr>
          <w:p>
            <w:pPr>
              <w:spacing w:line="360" w:lineRule="exact"/>
              <w:jc w:val="center"/>
              <w:rPr>
                <w:rFonts w:ascii="仿宋_GB2312" w:eastAsia="仿宋_GB2312"/>
                <w:kern w:val="0"/>
                <w:sz w:val="20"/>
                <w:szCs w:val="21"/>
              </w:rPr>
            </w:pP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完善办学基本制度</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全年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黄志良</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党政办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454" w:type="dxa"/>
            <w:vMerge w:val="continue"/>
            <w:noWrap w:val="0"/>
            <w:vAlign w:val="center"/>
          </w:tcPr>
          <w:p>
            <w:pPr>
              <w:spacing w:line="360" w:lineRule="exact"/>
              <w:jc w:val="center"/>
              <w:rPr>
                <w:rFonts w:ascii="仿宋_GB2312" w:eastAsia="仿宋_GB2312"/>
                <w:kern w:val="0"/>
                <w:sz w:val="20"/>
                <w:szCs w:val="21"/>
              </w:rPr>
            </w:pPr>
          </w:p>
        </w:tc>
        <w:tc>
          <w:tcPr>
            <w:tcW w:w="1072" w:type="dxa"/>
            <w:vMerge w:val="continue"/>
            <w:noWrap w:val="0"/>
            <w:vAlign w:val="center"/>
          </w:tcPr>
          <w:p>
            <w:pPr>
              <w:spacing w:line="360" w:lineRule="exact"/>
              <w:jc w:val="center"/>
              <w:rPr>
                <w:rFonts w:ascii="仿宋_GB2312" w:eastAsia="仿宋_GB2312"/>
                <w:kern w:val="0"/>
                <w:sz w:val="20"/>
                <w:szCs w:val="21"/>
              </w:rPr>
            </w:pP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推进二级管理</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全年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黄志良</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党政办、各二级学院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454" w:type="dxa"/>
            <w:vMerge w:val="continue"/>
            <w:noWrap w:val="0"/>
            <w:vAlign w:val="center"/>
          </w:tcPr>
          <w:p>
            <w:pPr>
              <w:spacing w:line="360" w:lineRule="exact"/>
              <w:jc w:val="center"/>
              <w:rPr>
                <w:rFonts w:ascii="仿宋_GB2312" w:eastAsia="仿宋_GB2312"/>
                <w:kern w:val="0"/>
                <w:sz w:val="20"/>
                <w:szCs w:val="21"/>
              </w:rPr>
            </w:pPr>
          </w:p>
        </w:tc>
        <w:tc>
          <w:tcPr>
            <w:tcW w:w="1072" w:type="dxa"/>
            <w:vMerge w:val="continue"/>
            <w:noWrap w:val="0"/>
            <w:vAlign w:val="center"/>
          </w:tcPr>
          <w:p>
            <w:pPr>
              <w:spacing w:line="360" w:lineRule="exact"/>
              <w:jc w:val="center"/>
              <w:rPr>
                <w:rFonts w:ascii="仿宋_GB2312" w:eastAsia="仿宋_GB2312"/>
                <w:kern w:val="0"/>
                <w:sz w:val="20"/>
                <w:szCs w:val="21"/>
              </w:rPr>
            </w:pP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深化机构改革</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上半年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孙晓文</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组织人事处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454" w:type="dxa"/>
            <w:vMerge w:val="continue"/>
            <w:noWrap w:val="0"/>
            <w:vAlign w:val="center"/>
          </w:tcPr>
          <w:p>
            <w:pPr>
              <w:spacing w:line="360" w:lineRule="exact"/>
              <w:jc w:val="center"/>
              <w:rPr>
                <w:rFonts w:ascii="仿宋_GB2312" w:eastAsia="仿宋_GB2312"/>
                <w:kern w:val="0"/>
                <w:sz w:val="20"/>
                <w:szCs w:val="21"/>
              </w:rPr>
            </w:pPr>
          </w:p>
        </w:tc>
        <w:tc>
          <w:tcPr>
            <w:tcW w:w="1072" w:type="dxa"/>
            <w:vMerge w:val="continue"/>
            <w:noWrap w:val="0"/>
            <w:vAlign w:val="center"/>
          </w:tcPr>
          <w:p>
            <w:pPr>
              <w:spacing w:line="360" w:lineRule="exact"/>
              <w:jc w:val="center"/>
              <w:rPr>
                <w:rFonts w:ascii="仿宋_GB2312" w:eastAsia="仿宋_GB2312"/>
                <w:kern w:val="0"/>
                <w:sz w:val="20"/>
                <w:szCs w:val="21"/>
              </w:rPr>
            </w:pP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中层干部换届聘任</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上半年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孙晓文、黄志良</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组织人事处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454" w:type="dxa"/>
            <w:vMerge w:val="continue"/>
            <w:noWrap w:val="0"/>
            <w:vAlign w:val="center"/>
          </w:tcPr>
          <w:p>
            <w:pPr>
              <w:spacing w:line="360" w:lineRule="exact"/>
              <w:jc w:val="center"/>
              <w:rPr>
                <w:rFonts w:ascii="仿宋_GB2312" w:eastAsia="仿宋_GB2312"/>
                <w:kern w:val="0"/>
                <w:sz w:val="20"/>
                <w:szCs w:val="21"/>
              </w:rPr>
            </w:pPr>
          </w:p>
        </w:tc>
        <w:tc>
          <w:tcPr>
            <w:tcW w:w="1072" w:type="dxa"/>
            <w:vMerge w:val="continue"/>
            <w:noWrap w:val="0"/>
            <w:vAlign w:val="center"/>
          </w:tcPr>
          <w:p>
            <w:pPr>
              <w:spacing w:line="360" w:lineRule="exact"/>
              <w:jc w:val="center"/>
              <w:rPr>
                <w:rFonts w:ascii="仿宋_GB2312" w:eastAsia="仿宋_GB2312"/>
                <w:kern w:val="0"/>
                <w:sz w:val="20"/>
                <w:szCs w:val="21"/>
              </w:rPr>
            </w:pP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修订完善1+8诊改体系</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上半年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黄志良、陈寿根</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质量办、各秘书单位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454" w:type="dxa"/>
            <w:vMerge w:val="continue"/>
            <w:noWrap w:val="0"/>
            <w:vAlign w:val="center"/>
          </w:tcPr>
          <w:p>
            <w:pPr>
              <w:spacing w:line="360" w:lineRule="exact"/>
              <w:jc w:val="center"/>
              <w:rPr>
                <w:rFonts w:ascii="仿宋_GB2312" w:eastAsia="仿宋_GB2312"/>
                <w:kern w:val="0"/>
                <w:sz w:val="20"/>
                <w:szCs w:val="21"/>
              </w:rPr>
            </w:pPr>
          </w:p>
        </w:tc>
        <w:tc>
          <w:tcPr>
            <w:tcW w:w="1072" w:type="dxa"/>
            <w:vMerge w:val="continue"/>
            <w:noWrap w:val="0"/>
            <w:vAlign w:val="center"/>
          </w:tcPr>
          <w:p>
            <w:pPr>
              <w:spacing w:line="360" w:lineRule="exact"/>
              <w:jc w:val="center"/>
              <w:rPr>
                <w:rFonts w:ascii="仿宋_GB2312" w:eastAsia="仿宋_GB2312"/>
                <w:kern w:val="0"/>
                <w:sz w:val="20"/>
                <w:szCs w:val="21"/>
              </w:rPr>
            </w:pP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推进诊改平台建设</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全年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黄志良、陈寿根</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质量办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454" w:type="dxa"/>
            <w:vMerge w:val="continue"/>
            <w:noWrap w:val="0"/>
            <w:vAlign w:val="center"/>
          </w:tcPr>
          <w:p>
            <w:pPr>
              <w:spacing w:line="360" w:lineRule="exact"/>
              <w:jc w:val="center"/>
              <w:rPr>
                <w:rFonts w:ascii="仿宋_GB2312" w:eastAsia="仿宋_GB2312"/>
                <w:kern w:val="0"/>
                <w:sz w:val="20"/>
                <w:szCs w:val="21"/>
              </w:rPr>
            </w:pPr>
          </w:p>
        </w:tc>
        <w:tc>
          <w:tcPr>
            <w:tcW w:w="1072" w:type="dxa"/>
            <w:vMerge w:val="continue"/>
            <w:noWrap w:val="0"/>
            <w:vAlign w:val="center"/>
          </w:tcPr>
          <w:p>
            <w:pPr>
              <w:spacing w:line="360" w:lineRule="exact"/>
              <w:jc w:val="center"/>
              <w:rPr>
                <w:rFonts w:ascii="仿宋_GB2312" w:eastAsia="仿宋_GB2312"/>
                <w:kern w:val="0"/>
                <w:sz w:val="20"/>
                <w:szCs w:val="21"/>
              </w:rPr>
            </w:pP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加强教学监督，强化课堂管理</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全年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陈寿根</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质量办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454" w:type="dxa"/>
            <w:vMerge w:val="restart"/>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5</w:t>
            </w:r>
          </w:p>
        </w:tc>
        <w:tc>
          <w:tcPr>
            <w:tcW w:w="1072" w:type="dxa"/>
            <w:vMerge w:val="restart"/>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人才强校</w:t>
            </w: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优化师资结构、出台相关政策</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全年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王伟、周炜炜</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组织人事处、教务处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454" w:type="dxa"/>
            <w:vMerge w:val="continue"/>
            <w:noWrap w:val="0"/>
            <w:vAlign w:val="center"/>
          </w:tcPr>
          <w:p>
            <w:pPr>
              <w:spacing w:line="360" w:lineRule="exact"/>
              <w:jc w:val="center"/>
              <w:rPr>
                <w:rFonts w:ascii="仿宋_GB2312" w:eastAsia="仿宋_GB2312"/>
                <w:kern w:val="0"/>
                <w:sz w:val="20"/>
                <w:szCs w:val="21"/>
              </w:rPr>
            </w:pPr>
          </w:p>
        </w:tc>
        <w:tc>
          <w:tcPr>
            <w:tcW w:w="1072" w:type="dxa"/>
            <w:vMerge w:val="continue"/>
            <w:noWrap w:val="0"/>
            <w:vAlign w:val="center"/>
          </w:tcPr>
          <w:p>
            <w:pPr>
              <w:spacing w:line="360" w:lineRule="exact"/>
              <w:jc w:val="center"/>
              <w:rPr>
                <w:rFonts w:ascii="仿宋_GB2312" w:eastAsia="仿宋_GB2312"/>
                <w:kern w:val="0"/>
                <w:sz w:val="20"/>
                <w:szCs w:val="21"/>
              </w:rPr>
            </w:pP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高层次人才引进</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全年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周炜炜</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组织人事处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454" w:type="dxa"/>
            <w:vMerge w:val="continue"/>
            <w:noWrap w:val="0"/>
            <w:vAlign w:val="center"/>
          </w:tcPr>
          <w:p>
            <w:pPr>
              <w:spacing w:line="360" w:lineRule="exact"/>
              <w:jc w:val="center"/>
              <w:rPr>
                <w:rFonts w:ascii="仿宋_GB2312" w:eastAsia="仿宋_GB2312"/>
                <w:kern w:val="0"/>
                <w:sz w:val="20"/>
                <w:szCs w:val="21"/>
              </w:rPr>
            </w:pPr>
          </w:p>
        </w:tc>
        <w:tc>
          <w:tcPr>
            <w:tcW w:w="1072" w:type="dxa"/>
            <w:vMerge w:val="continue"/>
            <w:noWrap w:val="0"/>
            <w:vAlign w:val="center"/>
          </w:tcPr>
          <w:p>
            <w:pPr>
              <w:spacing w:line="360" w:lineRule="exact"/>
              <w:jc w:val="center"/>
              <w:rPr>
                <w:rFonts w:ascii="仿宋_GB2312" w:eastAsia="仿宋_GB2312"/>
                <w:kern w:val="0"/>
                <w:sz w:val="20"/>
                <w:szCs w:val="21"/>
              </w:rPr>
            </w:pP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加强师资培训，提升教师能力</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全年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王伟、周炜炜</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组织人事处、教务处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454" w:type="dxa"/>
            <w:vMerge w:val="restart"/>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6</w:t>
            </w:r>
          </w:p>
        </w:tc>
        <w:tc>
          <w:tcPr>
            <w:tcW w:w="1072" w:type="dxa"/>
            <w:vMerge w:val="restart"/>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人才培养</w:t>
            </w: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加强高水平专业群建设</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全年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王伟</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454" w:type="dxa"/>
            <w:vMerge w:val="continue"/>
            <w:noWrap w:val="0"/>
            <w:vAlign w:val="center"/>
          </w:tcPr>
          <w:p>
            <w:pPr>
              <w:spacing w:line="360" w:lineRule="exact"/>
              <w:jc w:val="center"/>
              <w:rPr>
                <w:rFonts w:ascii="仿宋_GB2312" w:eastAsia="仿宋_GB2312"/>
                <w:kern w:val="0"/>
                <w:sz w:val="20"/>
                <w:szCs w:val="21"/>
              </w:rPr>
            </w:pPr>
          </w:p>
        </w:tc>
        <w:tc>
          <w:tcPr>
            <w:tcW w:w="1072" w:type="dxa"/>
            <w:vMerge w:val="continue"/>
            <w:noWrap w:val="0"/>
            <w:vAlign w:val="center"/>
          </w:tcPr>
          <w:p>
            <w:pPr>
              <w:spacing w:line="360" w:lineRule="exact"/>
              <w:jc w:val="center"/>
              <w:rPr>
                <w:rFonts w:ascii="仿宋_GB2312" w:eastAsia="仿宋_GB2312"/>
                <w:kern w:val="0"/>
                <w:sz w:val="20"/>
                <w:szCs w:val="21"/>
              </w:rPr>
            </w:pP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“BIM集成专业群”校长项目</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全年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黄志良</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454" w:type="dxa"/>
            <w:vMerge w:val="continue"/>
            <w:noWrap w:val="0"/>
            <w:vAlign w:val="center"/>
          </w:tcPr>
          <w:p>
            <w:pPr>
              <w:spacing w:line="360" w:lineRule="exact"/>
              <w:jc w:val="center"/>
              <w:rPr>
                <w:rFonts w:ascii="仿宋_GB2312" w:eastAsia="仿宋_GB2312"/>
                <w:kern w:val="0"/>
                <w:sz w:val="20"/>
                <w:szCs w:val="21"/>
              </w:rPr>
            </w:pPr>
          </w:p>
        </w:tc>
        <w:tc>
          <w:tcPr>
            <w:tcW w:w="1072" w:type="dxa"/>
            <w:vMerge w:val="continue"/>
            <w:noWrap w:val="0"/>
            <w:vAlign w:val="center"/>
          </w:tcPr>
          <w:p>
            <w:pPr>
              <w:spacing w:line="360" w:lineRule="exact"/>
              <w:jc w:val="center"/>
              <w:rPr>
                <w:rFonts w:ascii="仿宋_GB2312" w:eastAsia="仿宋_GB2312"/>
                <w:kern w:val="0"/>
                <w:sz w:val="20"/>
                <w:szCs w:val="21"/>
              </w:rPr>
            </w:pP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推进现代学徒制工作</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全年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王伟</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教务处、校企合作办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454" w:type="dxa"/>
            <w:vMerge w:val="continue"/>
            <w:noWrap w:val="0"/>
            <w:vAlign w:val="center"/>
          </w:tcPr>
          <w:p>
            <w:pPr>
              <w:spacing w:line="360" w:lineRule="exact"/>
              <w:jc w:val="center"/>
              <w:rPr>
                <w:rFonts w:ascii="仿宋_GB2312" w:eastAsia="仿宋_GB2312"/>
                <w:kern w:val="0"/>
                <w:sz w:val="20"/>
                <w:szCs w:val="21"/>
              </w:rPr>
            </w:pPr>
          </w:p>
        </w:tc>
        <w:tc>
          <w:tcPr>
            <w:tcW w:w="1072" w:type="dxa"/>
            <w:vMerge w:val="continue"/>
            <w:noWrap w:val="0"/>
            <w:vAlign w:val="center"/>
          </w:tcPr>
          <w:p>
            <w:pPr>
              <w:spacing w:line="360" w:lineRule="exact"/>
              <w:jc w:val="center"/>
              <w:rPr>
                <w:rFonts w:ascii="仿宋_GB2312" w:eastAsia="仿宋_GB2312"/>
                <w:kern w:val="0"/>
                <w:sz w:val="20"/>
                <w:szCs w:val="21"/>
              </w:rPr>
            </w:pP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运行好校内产教融合集成平台</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全年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王伟</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实训中心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454" w:type="dxa"/>
            <w:vMerge w:val="continue"/>
            <w:noWrap w:val="0"/>
            <w:vAlign w:val="center"/>
          </w:tcPr>
          <w:p>
            <w:pPr>
              <w:spacing w:line="360" w:lineRule="exact"/>
              <w:jc w:val="center"/>
              <w:rPr>
                <w:rFonts w:ascii="仿宋_GB2312" w:eastAsia="仿宋_GB2312"/>
                <w:kern w:val="0"/>
                <w:sz w:val="20"/>
                <w:szCs w:val="21"/>
              </w:rPr>
            </w:pPr>
          </w:p>
        </w:tc>
        <w:tc>
          <w:tcPr>
            <w:tcW w:w="1072" w:type="dxa"/>
            <w:vMerge w:val="continue"/>
            <w:noWrap w:val="0"/>
            <w:vAlign w:val="center"/>
          </w:tcPr>
          <w:p>
            <w:pPr>
              <w:spacing w:line="360" w:lineRule="exact"/>
              <w:jc w:val="center"/>
              <w:rPr>
                <w:rFonts w:ascii="仿宋_GB2312" w:eastAsia="仿宋_GB2312"/>
                <w:kern w:val="0"/>
                <w:sz w:val="20"/>
                <w:szCs w:val="21"/>
              </w:rPr>
            </w:pP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“1+X”证书试点改革</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全年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王伟</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454" w:type="dxa"/>
            <w:vMerge w:val="continue"/>
            <w:noWrap w:val="0"/>
            <w:vAlign w:val="center"/>
          </w:tcPr>
          <w:p>
            <w:pPr>
              <w:spacing w:line="360" w:lineRule="exact"/>
              <w:jc w:val="center"/>
              <w:rPr>
                <w:rFonts w:ascii="仿宋_GB2312" w:eastAsia="仿宋_GB2312"/>
                <w:kern w:val="0"/>
                <w:sz w:val="20"/>
                <w:szCs w:val="21"/>
              </w:rPr>
            </w:pPr>
          </w:p>
        </w:tc>
        <w:tc>
          <w:tcPr>
            <w:tcW w:w="1072" w:type="dxa"/>
            <w:vMerge w:val="continue"/>
            <w:noWrap w:val="0"/>
            <w:vAlign w:val="center"/>
          </w:tcPr>
          <w:p>
            <w:pPr>
              <w:spacing w:line="360" w:lineRule="exact"/>
              <w:jc w:val="center"/>
              <w:rPr>
                <w:rFonts w:ascii="仿宋_GB2312" w:eastAsia="仿宋_GB2312"/>
                <w:kern w:val="0"/>
                <w:sz w:val="20"/>
                <w:szCs w:val="21"/>
              </w:rPr>
            </w:pP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提升教育信息化水平</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全年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王伟</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教育技术中心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454" w:type="dxa"/>
            <w:vMerge w:val="continue"/>
            <w:noWrap w:val="0"/>
            <w:vAlign w:val="center"/>
          </w:tcPr>
          <w:p>
            <w:pPr>
              <w:spacing w:line="360" w:lineRule="exact"/>
              <w:jc w:val="center"/>
              <w:rPr>
                <w:rFonts w:ascii="仿宋_GB2312" w:eastAsia="仿宋_GB2312"/>
                <w:kern w:val="0"/>
                <w:sz w:val="20"/>
                <w:szCs w:val="21"/>
              </w:rPr>
            </w:pPr>
          </w:p>
        </w:tc>
        <w:tc>
          <w:tcPr>
            <w:tcW w:w="1072" w:type="dxa"/>
            <w:vMerge w:val="continue"/>
            <w:noWrap w:val="0"/>
            <w:vAlign w:val="center"/>
          </w:tcPr>
          <w:p>
            <w:pPr>
              <w:spacing w:line="360" w:lineRule="exact"/>
              <w:jc w:val="center"/>
              <w:rPr>
                <w:rFonts w:ascii="仿宋_GB2312" w:eastAsia="仿宋_GB2312"/>
                <w:kern w:val="0"/>
                <w:sz w:val="20"/>
                <w:szCs w:val="21"/>
              </w:rPr>
            </w:pP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组织、参与技能大赛</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全年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王伟</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454" w:type="dxa"/>
            <w:vMerge w:val="continue"/>
            <w:noWrap w:val="0"/>
            <w:vAlign w:val="center"/>
          </w:tcPr>
          <w:p>
            <w:pPr>
              <w:spacing w:line="360" w:lineRule="exact"/>
              <w:jc w:val="center"/>
              <w:rPr>
                <w:rFonts w:ascii="仿宋_GB2312" w:eastAsia="仿宋_GB2312"/>
                <w:kern w:val="0"/>
                <w:sz w:val="20"/>
                <w:szCs w:val="21"/>
              </w:rPr>
            </w:pPr>
          </w:p>
        </w:tc>
        <w:tc>
          <w:tcPr>
            <w:tcW w:w="1072" w:type="dxa"/>
            <w:vMerge w:val="continue"/>
            <w:noWrap w:val="0"/>
            <w:vAlign w:val="center"/>
          </w:tcPr>
          <w:p>
            <w:pPr>
              <w:spacing w:line="360" w:lineRule="exact"/>
              <w:jc w:val="center"/>
              <w:rPr>
                <w:rFonts w:ascii="仿宋_GB2312" w:eastAsia="仿宋_GB2312"/>
                <w:kern w:val="0"/>
                <w:sz w:val="20"/>
                <w:szCs w:val="21"/>
              </w:rPr>
            </w:pP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推进国际化办学，实现具备招收留学生资格</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全年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黄志良</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外事办、各二级学院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454" w:type="dxa"/>
            <w:vMerge w:val="continue"/>
            <w:noWrap w:val="0"/>
            <w:vAlign w:val="center"/>
          </w:tcPr>
          <w:p>
            <w:pPr>
              <w:spacing w:line="360" w:lineRule="exact"/>
              <w:jc w:val="center"/>
              <w:rPr>
                <w:rFonts w:ascii="仿宋_GB2312" w:eastAsia="仿宋_GB2312"/>
                <w:kern w:val="0"/>
                <w:sz w:val="20"/>
                <w:szCs w:val="21"/>
              </w:rPr>
            </w:pPr>
          </w:p>
        </w:tc>
        <w:tc>
          <w:tcPr>
            <w:tcW w:w="1072" w:type="dxa"/>
            <w:vMerge w:val="continue"/>
            <w:noWrap w:val="0"/>
            <w:vAlign w:val="center"/>
          </w:tcPr>
          <w:p>
            <w:pPr>
              <w:spacing w:line="360" w:lineRule="exact"/>
              <w:jc w:val="center"/>
              <w:rPr>
                <w:rFonts w:ascii="仿宋_GB2312" w:eastAsia="仿宋_GB2312"/>
                <w:kern w:val="0"/>
                <w:sz w:val="20"/>
                <w:szCs w:val="21"/>
              </w:rPr>
            </w:pP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丰富三色文化内涵，提升育人服务水平</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全年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黄志良</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454" w:type="dxa"/>
            <w:vMerge w:val="continue"/>
            <w:noWrap w:val="0"/>
            <w:vAlign w:val="center"/>
          </w:tcPr>
          <w:p>
            <w:pPr>
              <w:spacing w:line="360" w:lineRule="exact"/>
              <w:jc w:val="center"/>
              <w:rPr>
                <w:rFonts w:ascii="仿宋_GB2312" w:eastAsia="仿宋_GB2312"/>
                <w:kern w:val="0"/>
                <w:sz w:val="20"/>
                <w:szCs w:val="21"/>
              </w:rPr>
            </w:pPr>
          </w:p>
        </w:tc>
        <w:tc>
          <w:tcPr>
            <w:tcW w:w="1072" w:type="dxa"/>
            <w:vMerge w:val="continue"/>
            <w:noWrap w:val="0"/>
            <w:vAlign w:val="center"/>
          </w:tcPr>
          <w:p>
            <w:pPr>
              <w:spacing w:line="360" w:lineRule="exact"/>
              <w:jc w:val="center"/>
              <w:rPr>
                <w:rFonts w:ascii="仿宋_GB2312" w:eastAsia="仿宋_GB2312"/>
                <w:kern w:val="0"/>
                <w:sz w:val="20"/>
                <w:szCs w:val="21"/>
              </w:rPr>
            </w:pP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组织学生参加各级各类技能比赛、创新创业比赛</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全年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王伟、毛浩生</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教务处、学工处、团委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454" w:type="dxa"/>
            <w:vMerge w:val="continue"/>
            <w:noWrap w:val="0"/>
            <w:vAlign w:val="center"/>
          </w:tcPr>
          <w:p>
            <w:pPr>
              <w:spacing w:line="360" w:lineRule="exact"/>
              <w:jc w:val="center"/>
              <w:rPr>
                <w:rFonts w:ascii="仿宋_GB2312" w:eastAsia="仿宋_GB2312"/>
                <w:kern w:val="0"/>
                <w:sz w:val="20"/>
                <w:szCs w:val="21"/>
              </w:rPr>
            </w:pPr>
          </w:p>
        </w:tc>
        <w:tc>
          <w:tcPr>
            <w:tcW w:w="1072" w:type="dxa"/>
            <w:vMerge w:val="continue"/>
            <w:noWrap w:val="0"/>
            <w:vAlign w:val="center"/>
          </w:tcPr>
          <w:p>
            <w:pPr>
              <w:spacing w:line="360" w:lineRule="exact"/>
              <w:jc w:val="center"/>
              <w:rPr>
                <w:rFonts w:ascii="仿宋_GB2312" w:eastAsia="仿宋_GB2312"/>
                <w:kern w:val="0"/>
                <w:sz w:val="20"/>
                <w:szCs w:val="21"/>
              </w:rPr>
            </w:pP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加强学风建设，完善奖勤助贷体系</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全年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毛浩生</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学工处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454" w:type="dxa"/>
            <w:vMerge w:val="continue"/>
            <w:noWrap w:val="0"/>
            <w:vAlign w:val="center"/>
          </w:tcPr>
          <w:p>
            <w:pPr>
              <w:spacing w:line="360" w:lineRule="exact"/>
              <w:jc w:val="center"/>
              <w:rPr>
                <w:rFonts w:ascii="仿宋_GB2312" w:eastAsia="仿宋_GB2312"/>
                <w:kern w:val="0"/>
                <w:sz w:val="20"/>
                <w:szCs w:val="21"/>
              </w:rPr>
            </w:pPr>
          </w:p>
        </w:tc>
        <w:tc>
          <w:tcPr>
            <w:tcW w:w="1072" w:type="dxa"/>
            <w:vMerge w:val="continue"/>
            <w:noWrap w:val="0"/>
            <w:vAlign w:val="center"/>
          </w:tcPr>
          <w:p>
            <w:pPr>
              <w:spacing w:line="360" w:lineRule="exact"/>
              <w:jc w:val="center"/>
              <w:rPr>
                <w:rFonts w:ascii="仿宋_GB2312" w:eastAsia="仿宋_GB2312"/>
                <w:kern w:val="0"/>
                <w:sz w:val="20"/>
                <w:szCs w:val="21"/>
              </w:rPr>
            </w:pP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加强学生社团管理，开展好各类校园文化活动</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全年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毛浩生</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454" w:type="dxa"/>
            <w:vMerge w:val="continue"/>
            <w:noWrap w:val="0"/>
            <w:vAlign w:val="center"/>
          </w:tcPr>
          <w:p>
            <w:pPr>
              <w:spacing w:line="360" w:lineRule="exact"/>
              <w:jc w:val="center"/>
              <w:rPr>
                <w:rFonts w:ascii="仿宋_GB2312" w:eastAsia="仿宋_GB2312"/>
                <w:kern w:val="0"/>
                <w:sz w:val="20"/>
                <w:szCs w:val="21"/>
              </w:rPr>
            </w:pPr>
          </w:p>
        </w:tc>
        <w:tc>
          <w:tcPr>
            <w:tcW w:w="1072" w:type="dxa"/>
            <w:vMerge w:val="continue"/>
            <w:noWrap w:val="0"/>
            <w:vAlign w:val="center"/>
          </w:tcPr>
          <w:p>
            <w:pPr>
              <w:spacing w:line="360" w:lineRule="exact"/>
              <w:jc w:val="center"/>
              <w:rPr>
                <w:rFonts w:ascii="仿宋_GB2312" w:eastAsia="仿宋_GB2312"/>
                <w:kern w:val="0"/>
                <w:sz w:val="20"/>
                <w:szCs w:val="21"/>
              </w:rPr>
            </w:pP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加强招生宣传，扩大招生规模，完成招生任务</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全年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毛浩生</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招就办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454" w:type="dxa"/>
            <w:vMerge w:val="continue"/>
            <w:noWrap w:val="0"/>
            <w:vAlign w:val="center"/>
          </w:tcPr>
          <w:p>
            <w:pPr>
              <w:spacing w:line="360" w:lineRule="exact"/>
              <w:jc w:val="center"/>
              <w:rPr>
                <w:rFonts w:ascii="仿宋_GB2312" w:eastAsia="仿宋_GB2312"/>
                <w:kern w:val="0"/>
                <w:sz w:val="20"/>
                <w:szCs w:val="21"/>
              </w:rPr>
            </w:pPr>
          </w:p>
        </w:tc>
        <w:tc>
          <w:tcPr>
            <w:tcW w:w="1072" w:type="dxa"/>
            <w:vMerge w:val="continue"/>
            <w:noWrap w:val="0"/>
            <w:vAlign w:val="center"/>
          </w:tcPr>
          <w:p>
            <w:pPr>
              <w:spacing w:line="360" w:lineRule="exact"/>
              <w:jc w:val="center"/>
              <w:rPr>
                <w:rFonts w:ascii="仿宋_GB2312" w:eastAsia="仿宋_GB2312"/>
                <w:kern w:val="0"/>
                <w:sz w:val="20"/>
                <w:szCs w:val="21"/>
              </w:rPr>
            </w:pP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稳步提升就业，创新就业方式</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全年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毛浩生</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招就办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454" w:type="dxa"/>
            <w:vMerge w:val="restart"/>
            <w:noWrap w:val="0"/>
            <w:vAlign w:val="center"/>
          </w:tcPr>
          <w:p>
            <w:pPr>
              <w:spacing w:line="360" w:lineRule="exact"/>
              <w:rPr>
                <w:rFonts w:ascii="仿宋_GB2312" w:eastAsia="仿宋_GB2312"/>
                <w:kern w:val="0"/>
                <w:sz w:val="20"/>
                <w:szCs w:val="21"/>
              </w:rPr>
            </w:pPr>
            <w:r>
              <w:rPr>
                <w:rFonts w:hint="eastAsia" w:ascii="仿宋_GB2312" w:eastAsia="仿宋_GB2312"/>
                <w:kern w:val="0"/>
                <w:sz w:val="20"/>
                <w:szCs w:val="21"/>
              </w:rPr>
              <w:t>7</w:t>
            </w:r>
          </w:p>
        </w:tc>
        <w:tc>
          <w:tcPr>
            <w:tcW w:w="1072" w:type="dxa"/>
            <w:vMerge w:val="restart"/>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科研与社会服务</w:t>
            </w: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完善科研制度，修订奖励办法</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全年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陈寿根</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科研处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454" w:type="dxa"/>
            <w:vMerge w:val="continue"/>
            <w:noWrap w:val="0"/>
            <w:vAlign w:val="center"/>
          </w:tcPr>
          <w:p>
            <w:pPr>
              <w:spacing w:line="360" w:lineRule="exact"/>
              <w:rPr>
                <w:rFonts w:ascii="仿宋_GB2312" w:eastAsia="仿宋_GB2312"/>
                <w:kern w:val="0"/>
                <w:sz w:val="20"/>
                <w:szCs w:val="21"/>
              </w:rPr>
            </w:pPr>
          </w:p>
        </w:tc>
        <w:tc>
          <w:tcPr>
            <w:tcW w:w="1072" w:type="dxa"/>
            <w:vMerge w:val="continue"/>
            <w:noWrap w:val="0"/>
            <w:vAlign w:val="center"/>
          </w:tcPr>
          <w:p>
            <w:pPr>
              <w:spacing w:line="360" w:lineRule="exact"/>
              <w:jc w:val="center"/>
              <w:rPr>
                <w:rFonts w:ascii="仿宋_GB2312" w:eastAsia="仿宋_GB2312"/>
                <w:kern w:val="0"/>
                <w:sz w:val="20"/>
                <w:szCs w:val="21"/>
              </w:rPr>
            </w:pP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lang w:eastAsia="zh-CN"/>
              </w:rPr>
              <w:t>加</w:t>
            </w:r>
            <w:r>
              <w:rPr>
                <w:rFonts w:hint="eastAsia" w:ascii="仿宋_GB2312" w:eastAsia="仿宋_GB2312"/>
                <w:kern w:val="0"/>
                <w:sz w:val="20"/>
                <w:szCs w:val="21"/>
              </w:rPr>
              <w:t>强科研团队建设，培养科研骨干</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全年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陈寿根</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科研处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454" w:type="dxa"/>
            <w:vMerge w:val="continue"/>
            <w:noWrap w:val="0"/>
            <w:vAlign w:val="center"/>
          </w:tcPr>
          <w:p>
            <w:pPr>
              <w:spacing w:line="360" w:lineRule="exact"/>
              <w:rPr>
                <w:rFonts w:ascii="仿宋_GB2312" w:eastAsia="仿宋_GB2312"/>
                <w:kern w:val="0"/>
                <w:sz w:val="20"/>
                <w:szCs w:val="21"/>
              </w:rPr>
            </w:pPr>
          </w:p>
        </w:tc>
        <w:tc>
          <w:tcPr>
            <w:tcW w:w="1072" w:type="dxa"/>
            <w:vMerge w:val="continue"/>
            <w:noWrap w:val="0"/>
            <w:vAlign w:val="center"/>
          </w:tcPr>
          <w:p>
            <w:pPr>
              <w:spacing w:line="360" w:lineRule="exact"/>
              <w:jc w:val="center"/>
              <w:rPr>
                <w:rFonts w:ascii="仿宋_GB2312" w:eastAsia="仿宋_GB2312"/>
                <w:kern w:val="0"/>
                <w:sz w:val="20"/>
                <w:szCs w:val="21"/>
              </w:rPr>
            </w:pP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开拓继续教育和三产市场</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全年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陈寿根</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继续教育学院、校办产业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454" w:type="dxa"/>
            <w:vMerge w:val="restart"/>
            <w:noWrap w:val="0"/>
            <w:vAlign w:val="center"/>
          </w:tcPr>
          <w:p>
            <w:pPr>
              <w:spacing w:line="360" w:lineRule="exact"/>
              <w:rPr>
                <w:rFonts w:ascii="仿宋_GB2312" w:eastAsia="仿宋_GB2312"/>
                <w:kern w:val="0"/>
                <w:sz w:val="20"/>
                <w:szCs w:val="21"/>
              </w:rPr>
            </w:pPr>
            <w:r>
              <w:rPr>
                <w:rFonts w:hint="eastAsia" w:ascii="仿宋_GB2312" w:eastAsia="仿宋_GB2312"/>
                <w:kern w:val="0"/>
                <w:sz w:val="20"/>
                <w:szCs w:val="21"/>
              </w:rPr>
              <w:t>8</w:t>
            </w:r>
          </w:p>
        </w:tc>
        <w:tc>
          <w:tcPr>
            <w:tcW w:w="1072" w:type="dxa"/>
            <w:vMerge w:val="restart"/>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绿色校园建设与基础能力保障</w:t>
            </w: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创造条件参加绿色校园</w:t>
            </w:r>
            <w:r>
              <w:rPr>
                <w:rFonts w:hint="eastAsia" w:ascii="仿宋_GB2312" w:eastAsia="仿宋_GB2312"/>
                <w:kern w:val="0"/>
                <w:sz w:val="20"/>
                <w:szCs w:val="21"/>
                <w:lang w:eastAsia="zh-CN"/>
              </w:rPr>
              <w:t>标识</w:t>
            </w:r>
            <w:r>
              <w:rPr>
                <w:rFonts w:hint="eastAsia" w:ascii="仿宋_GB2312" w:eastAsia="仿宋_GB2312"/>
                <w:kern w:val="0"/>
                <w:sz w:val="20"/>
                <w:szCs w:val="21"/>
              </w:rPr>
              <w:t>申报</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全年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周炜炜</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绿建办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454" w:type="dxa"/>
            <w:vMerge w:val="continue"/>
            <w:noWrap w:val="0"/>
            <w:vAlign w:val="center"/>
          </w:tcPr>
          <w:p>
            <w:pPr>
              <w:spacing w:line="360" w:lineRule="exact"/>
              <w:rPr>
                <w:rFonts w:ascii="仿宋_GB2312" w:eastAsia="仿宋_GB2312"/>
                <w:kern w:val="0"/>
                <w:sz w:val="20"/>
                <w:szCs w:val="21"/>
              </w:rPr>
            </w:pPr>
          </w:p>
        </w:tc>
        <w:tc>
          <w:tcPr>
            <w:tcW w:w="1072" w:type="dxa"/>
            <w:vMerge w:val="continue"/>
            <w:noWrap w:val="0"/>
            <w:vAlign w:val="center"/>
          </w:tcPr>
          <w:p>
            <w:pPr>
              <w:spacing w:line="360" w:lineRule="exact"/>
              <w:jc w:val="center"/>
              <w:rPr>
                <w:rFonts w:ascii="仿宋_GB2312" w:eastAsia="仿宋_GB2312"/>
                <w:kern w:val="0"/>
                <w:sz w:val="20"/>
                <w:szCs w:val="21"/>
              </w:rPr>
            </w:pP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加强平安校园建设</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全年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毛浩生</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454" w:type="dxa"/>
            <w:vMerge w:val="continue"/>
            <w:noWrap w:val="0"/>
            <w:vAlign w:val="center"/>
          </w:tcPr>
          <w:p>
            <w:pPr>
              <w:spacing w:line="360" w:lineRule="exact"/>
              <w:rPr>
                <w:rFonts w:ascii="仿宋_GB2312" w:eastAsia="仿宋_GB2312"/>
                <w:kern w:val="0"/>
                <w:sz w:val="20"/>
                <w:szCs w:val="21"/>
              </w:rPr>
            </w:pPr>
          </w:p>
        </w:tc>
        <w:tc>
          <w:tcPr>
            <w:tcW w:w="1072" w:type="dxa"/>
            <w:vMerge w:val="continue"/>
            <w:noWrap w:val="0"/>
            <w:vAlign w:val="center"/>
          </w:tcPr>
          <w:p>
            <w:pPr>
              <w:spacing w:line="360" w:lineRule="exact"/>
              <w:jc w:val="center"/>
              <w:rPr>
                <w:rFonts w:ascii="仿宋_GB2312" w:eastAsia="仿宋_GB2312"/>
                <w:kern w:val="0"/>
                <w:sz w:val="20"/>
                <w:szCs w:val="21"/>
              </w:rPr>
            </w:pPr>
          </w:p>
        </w:tc>
        <w:tc>
          <w:tcPr>
            <w:tcW w:w="297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完善内控体系，加强财务管理</w:t>
            </w:r>
          </w:p>
        </w:tc>
        <w:tc>
          <w:tcPr>
            <w:tcW w:w="1025"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全年</w:t>
            </w:r>
          </w:p>
        </w:tc>
        <w:tc>
          <w:tcPr>
            <w:tcW w:w="122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lang w:val="en-US" w:eastAsia="zh-CN"/>
              </w:rPr>
              <w:t>陈寿根</w:t>
            </w:r>
          </w:p>
        </w:tc>
        <w:tc>
          <w:tcPr>
            <w:tcW w:w="1767" w:type="dxa"/>
            <w:noWrap w:val="0"/>
            <w:vAlign w:val="center"/>
          </w:tcPr>
          <w:p>
            <w:pPr>
              <w:spacing w:line="360" w:lineRule="exact"/>
              <w:jc w:val="center"/>
              <w:rPr>
                <w:rFonts w:ascii="仿宋_GB2312" w:eastAsia="仿宋_GB2312"/>
                <w:kern w:val="0"/>
                <w:sz w:val="20"/>
                <w:szCs w:val="21"/>
              </w:rPr>
            </w:pPr>
            <w:r>
              <w:rPr>
                <w:rFonts w:hint="eastAsia" w:ascii="仿宋_GB2312" w:eastAsia="仿宋_GB2312"/>
                <w:kern w:val="0"/>
                <w:sz w:val="20"/>
                <w:szCs w:val="21"/>
              </w:rPr>
              <w:t>财务处</w:t>
            </w:r>
          </w:p>
        </w:tc>
      </w:tr>
    </w:tbl>
    <w:p/>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bookmarkStart w:id="3" w:name="_GoBack"/>
      <w:bookmarkEnd w:id="3"/>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0" w:firstLineChars="0"/>
        <w:rPr>
          <w:rFonts w:hint="eastAsia" w:ascii="仿宋_GB2312" w:hAnsi="仿宋_GB2312" w:eastAsia="仿宋_GB2312" w:cs="仿宋_GB2312"/>
          <w:sz w:val="32"/>
          <w:szCs w:val="32"/>
        </w:rPr>
      </w:pPr>
    </w:p>
    <w:p>
      <w:pPr>
        <w:ind w:firstLine="420" w:firstLineChars="200"/>
      </w:pPr>
    </w:p>
    <w:p>
      <w:pPr>
        <w:rPr>
          <w:rFonts w:hint="eastAsia"/>
        </w:rPr>
      </w:pPr>
    </w:p>
    <w:p>
      <w:pPr>
        <w:snapToGrid w:val="0"/>
        <w:spacing w:line="538" w:lineRule="atLeast"/>
        <w:jc w:val="left"/>
        <w:rPr>
          <w:rFonts w:hint="eastAsia"/>
        </w:rPr>
      </w:pPr>
      <w:r>
        <w:rPr>
          <w:rFonts w:ascii="方正仿宋简体" w:eastAsia="方正仿宋简体"/>
          <w:sz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58420</wp:posOffset>
                </wp:positionV>
                <wp:extent cx="560070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4.6pt;height:0.05pt;width:441pt;z-index:251658240;mso-width-relative:page;mso-height-relative:page;" filled="f" stroked="t" coordsize="21600,21600" o:gfxdata="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b8TE/SAAAABAEAAA8AAAAAAAAAAQAg&#10;AAAAIgAAAGRycy9kb3ducmV2LnhtbFBLAQIUABQAAAAIAIdO4kClnf7t2wEAAJgDAAAOAAAAAAAA&#10;AAEAIAAAACEBAABkcnMvZTJvRG9jLnhtbFBLBQYAAAAABgAGAFkBAABuBQAAAAA=&#10;">
                <v:fill on="f" focussize="0,0"/>
                <v:stroke color="#000000" joinstyle="round"/>
                <v:imagedata o:title=""/>
                <o:lock v:ext="edit" aspectratio="f"/>
              </v:line>
            </w:pict>
          </mc:Fallback>
        </mc:AlternateContent>
      </w:r>
      <w:r>
        <w:rPr>
          <w:rFonts w:eastAsia="方正仿宋简体"/>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455930</wp:posOffset>
                </wp:positionV>
                <wp:extent cx="560070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5.9pt;height:0.05pt;width:441pt;z-index:251659264;mso-width-relative:page;mso-height-relative:page;" filled="f" stroked="t" coordsize="21600,21600" o:gfxdata="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Z8KY/TAAAABgEAAA8AAAAAAAAAAQAg&#10;AAAAIgAAAGRycy9kb3ducmV2LnhtbFBLAQIUABQAAAAIAIdO4kAIgEWs2gEAAJgDAAAOAAAAAAAA&#10;AAEAIAAAACIBAABkcnMvZTJvRG9jLnhtbFBLBQYAAAAABgAGAFkBAABuBQAAAAA=&#10;">
                <v:fill on="f" focussize="0,0"/>
                <v:stroke color="#000000" joinstyle="round"/>
                <v:imagedata o:title=""/>
                <o:lock v:ext="edit" aspectratio="f"/>
              </v:line>
            </w:pict>
          </mc:Fallback>
        </mc:AlternateContent>
      </w:r>
      <w:r>
        <w:rPr>
          <w:rFonts w:ascii="方正仿宋简体" w:eastAsia="方正仿宋简体"/>
          <w:w w:val="90"/>
          <w:sz w:val="32"/>
        </w:rPr>
        <w:t>中共江苏</w:t>
      </w:r>
      <w:r>
        <w:rPr>
          <w:rFonts w:hint="eastAsia" w:ascii="方正仿宋简体" w:eastAsia="方正仿宋简体"/>
          <w:w w:val="90"/>
          <w:sz w:val="32"/>
        </w:rPr>
        <w:t>城乡建设职业学院委员会</w:t>
      </w:r>
      <w:r>
        <w:rPr>
          <w:rFonts w:ascii="方正仿宋简体" w:eastAsia="方正仿宋简体"/>
          <w:w w:val="90"/>
          <w:sz w:val="32"/>
        </w:rPr>
        <w:t>办公室</w:t>
      </w:r>
      <w:r>
        <w:rPr>
          <w:rFonts w:hint="eastAsia" w:ascii="方正仿宋简体" w:eastAsia="方正仿宋简体"/>
          <w:w w:val="90"/>
          <w:sz w:val="32"/>
        </w:rPr>
        <w:t xml:space="preserve"> </w:t>
      </w:r>
      <w:r>
        <w:rPr>
          <w:rFonts w:hint="eastAsia" w:ascii="方正仿宋简体" w:eastAsia="方正仿宋简体"/>
          <w:w w:val="90"/>
          <w:sz w:val="32"/>
          <w:lang w:val="en-US" w:eastAsia="zh-CN"/>
        </w:rPr>
        <w:t xml:space="preserve">   </w:t>
      </w:r>
      <w:r>
        <w:rPr>
          <w:rFonts w:hint="eastAsia" w:ascii="方正仿宋简体" w:eastAsia="方正仿宋简体"/>
          <w:w w:val="90"/>
          <w:sz w:val="32"/>
        </w:rPr>
        <w:t xml:space="preserve">  </w:t>
      </w:r>
      <w:r>
        <w:rPr>
          <w:rFonts w:hint="eastAsia" w:ascii="仿宋_GB2312" w:eastAsia="仿宋_GB2312"/>
          <w:w w:val="90"/>
          <w:sz w:val="32"/>
        </w:rPr>
        <w:t>2020年5月27日</w:t>
      </w:r>
      <w:r>
        <w:rPr>
          <w:rFonts w:ascii="方正仿宋简体" w:eastAsia="方正仿宋简体"/>
          <w:w w:val="90"/>
          <w:sz w:val="32"/>
        </w:rPr>
        <w:t>印发</w:t>
      </w:r>
    </w:p>
    <w:p/>
    <w:sectPr>
      <w:footerReference r:id="rId3" w:type="default"/>
      <w:footerReference r:id="rId4" w:type="even"/>
      <w:pgSz w:w="11906" w:h="16838"/>
      <w:pgMar w:top="2098" w:right="1474" w:bottom="1985" w:left="1588"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T9227E77DtCID-WinCharSetFFFF-H">
    <w:altName w:val="宋体"/>
    <w:panose1 w:val="00000000000000000000"/>
    <w:charset w:val="86"/>
    <w:family w:val="auto"/>
    <w:pitch w:val="default"/>
    <w:sig w:usb0="00000000" w:usb1="00000000" w:usb2="0000001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anchorLock="1"/>
      <w:rPr>
        <w:rStyle w:val="5"/>
        <w:sz w:val="28"/>
      </w:rPr>
    </w:pPr>
    <w:r>
      <w:rPr>
        <w:sz w:val="28"/>
      </w:rPr>
      <w:fldChar w:fldCharType="begin"/>
    </w:r>
    <w:r>
      <w:rPr>
        <w:rStyle w:val="5"/>
        <w:sz w:val="28"/>
      </w:rPr>
      <w:instrText xml:space="preserve">PAGE  </w:instrText>
    </w:r>
    <w:r>
      <w:rPr>
        <w:sz w:val="28"/>
      </w:rPr>
      <w:fldChar w:fldCharType="separate"/>
    </w:r>
    <w:r>
      <w:rPr>
        <w:rStyle w:val="5"/>
        <w:sz w:val="28"/>
      </w:rPr>
      <w:t>- 24 -</w:t>
    </w:r>
    <w:r>
      <w:rPr>
        <w:sz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EC0FC5"/>
    <w:rsid w:val="36EC0FC5"/>
    <w:rsid w:val="6E1126D0"/>
    <w:rsid w:val="71E21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2020-09-11T02:00:00Z</dcterms:created>
  <dc:creator>贾芬</dc:creator>
  <cp:lastModifiedBy>youngwolf</cp:lastModifiedBy>
  <dcterms:modified xsi:type="dcterms:W3CDTF">2020-09-15T05:58:38Z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