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教学工作考核评定标准</w:t>
      </w:r>
    </w:p>
    <w:p>
      <w:pPr>
        <w:ind w:firstLine="120" w:firstLineChars="5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系部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姓名：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学年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学期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</w:p>
    <w:p>
      <w:pPr>
        <w:ind w:firstLine="120" w:firstLineChars="50"/>
        <w:rPr>
          <w:rFonts w:hint="eastAsia" w:ascii="仿宋_GB2312" w:eastAsia="仿宋_GB2312"/>
          <w:sz w:val="24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3420"/>
        <w:gridCol w:w="720"/>
        <w:gridCol w:w="720"/>
        <w:gridCol w:w="54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 标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室评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系评</w:t>
            </w:r>
          </w:p>
        </w:tc>
        <w:tc>
          <w:tcPr>
            <w:tcW w:w="139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教学态度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教书育人，为人师表，显示良好的教师风范；有较强的工作责任心，认真对待教学工作的各个环节 (5分)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restart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  <w:szCs w:val="28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  <w:szCs w:val="28"/>
              </w:rPr>
            </w:pPr>
          </w:p>
          <w:p>
            <w:pPr>
              <w:rPr>
                <w:rFonts w:hint="eastAsia" w:ascii="仿宋_GB2312" w:eastAsia="仿宋_GB2312"/>
                <w:szCs w:val="28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坐班期间迟到，每次扣2分。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上课内容在授课计划中没有体现扣1-5分。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在学校各部门的检查中，发现无故不在岗位上，离开教学现场；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没有及时考勤。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上课期间学生玩手机、服装要求等违反体育课堂的纪律要求。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学生期末成绩的给予不符合规定、违反体育评分细则等。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根据学生期中测评结果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在无课期间不参加学校或部门的公开课听课。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遵守劳动纪律，按时上、下课，不随意调课 (5分)，因私调课一次扣1分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授课计划；教学进度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按课程标准及时、正确制定授课计划，得5分。退一次扣1分；晚上传OA网一门（次）扣2分。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按学校“教学进度检查表”检查记录评分，满分5分。未经许可，随意改变进度不得分（包括课中让学生自由活动）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每学期教案检查三次：期初30%，期中30%，期末40%；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每次晚交扣当次检查10分（百分制）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课堂教学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(40分)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教师上课10分：认真，不无故离开岗位，发现一次扣5分；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平时记载5分：记载内容及时；期末上交时记录符合规定，完整。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课堂管理10分：学生反映课堂纪律管理不严、秩序混乱，经核实或经值班老师发现，一次扣3分；未及时稳妥处理课堂违纪并造成严重后果者，不得分；上课迟到、早退，发现一次扣2分，造成严重后果者，不得分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期末学生成绩考核、评定、上交按课室、学校要求执行，得1--5分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学生评价10分：得分按实得分乘以0.1。（以学生调查测评结果为依据）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听课评课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(5分)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按学校、系部听课要求完成听课任务得5分，缺少1次扣1分。弄虚作假不得分；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期末记录表要求完整；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按要求参加学校及系部组织的公开课听课，缺席一次扣1分。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教研活动(15分)</w:t>
            </w:r>
          </w:p>
        </w:tc>
        <w:tc>
          <w:tcPr>
            <w:tcW w:w="3420" w:type="dxa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教研活动出勤率5分：教研活动每少一次扣1分（因私事请假）；无故迟到1次扣1分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05" w:firstLineChars="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有具体内容；解决问题；30分钟以上。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教研活动期间提供的建议等。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组织一次高质量的教研活动得5分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参与团队教研活动的积极程度，根据所起作用可得1—5分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教学工作资料上交（10分）</w:t>
            </w: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时效性、准确度10分：未能按规定时间上交相关资料，1次扣2分。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应上交资料被退回修改1次扣1分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540" w:type="dxa"/>
            <w:vAlign w:val="top"/>
          </w:tcPr>
          <w:p/>
        </w:tc>
        <w:tc>
          <w:tcPr>
            <w:tcW w:w="1394" w:type="dxa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除以上各评分标准中规定的扣分要求以外的情况。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计</w:t>
            </w: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hAnsi="华文中宋" w:eastAsia="仿宋_GB2312"/>
          <w:sz w:val="36"/>
          <w:szCs w:val="36"/>
        </w:rPr>
      </w:pPr>
    </w:p>
    <w:p>
      <w:pPr>
        <w:jc w:val="center"/>
        <w:rPr>
          <w:rFonts w:hint="eastAsia"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其它工作考核评定标准</w:t>
      </w:r>
    </w:p>
    <w:p>
      <w:pPr>
        <w:ind w:firstLine="120" w:firstLineChars="5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系部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姓名：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学年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sz w:val="24"/>
        </w:rPr>
        <w:t xml:space="preserve"> 学期</w:t>
      </w:r>
      <w:r>
        <w:rPr>
          <w:rFonts w:hint="eastAsia" w:ascii="仿宋_GB2312" w:eastAsia="仿宋_GB2312"/>
          <w:sz w:val="24"/>
          <w:u w:val="single"/>
        </w:rPr>
        <w:t xml:space="preserve">       </w:t>
      </w:r>
    </w:p>
    <w:p>
      <w:pPr>
        <w:ind w:firstLine="120" w:firstLineChars="50"/>
        <w:rPr>
          <w:rFonts w:hint="eastAsia" w:ascii="仿宋_GB2312" w:eastAsia="仿宋_GB2312"/>
          <w:sz w:val="24"/>
          <w:u w:val="single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3420"/>
        <w:gridCol w:w="720"/>
        <w:gridCol w:w="720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室评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系评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工作量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根据接受学校、系科工作安排的态度、工作责任心、团队协作、为人师表等方面，得1--3分</w:t>
            </w:r>
          </w:p>
          <w:p>
            <w:pPr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restart"/>
            <w:tcBorders>
              <w:top w:val="nil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完成下达教学任务，得2分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“早锻炼”管理（5分）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能够准时到位并组织好学生得5分。无故缺一次扣2分，经常迟到、早退扣1--3分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按照要求出席，调换需有申请。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“体育社团”管理（10分）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能够按学校要求进行组织，管理到位得5分；期末各种资料齐全得5分。无故缺一次扣2分，迟到、早退每次扣1分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</w:rPr>
              <w:t>根据学校、系部的检查扣分。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教师个人比赛获奖（15分）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组织的教学论文、德育论文评比；各种课件、信息化比赛；案例、“五课”、“二课”比赛；技能大赛等，教师参与一项校级比赛得基本分2分，获一、二、三、优秀奖分别得4、3、2、1分，每上升一个级别加2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top"/>
          </w:tcPr>
          <w:p>
            <w:pPr>
              <w:ind w:firstLine="180" w:firstLineChars="100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有省级以上教学成果奖（精品课程、精品教材、教改立项、教学成果、教学名师等）得15分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教师组织学生参加校外比赛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（15分）</w:t>
            </w:r>
          </w:p>
        </w:tc>
        <w:tc>
          <w:tcPr>
            <w:tcW w:w="3420" w:type="dxa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认真训练得5分：有训练计划、考勤、赛后总结；训练器材、服装归还等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left="120" w:leftChars="57"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因比赛获奖得分占10分：市级一等奖（第一名）5分，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二等奖（第二、三名）3分，三等奖（第四-六名）2分；</w:t>
            </w:r>
          </w:p>
          <w:p>
            <w:pPr>
              <w:ind w:left="120" w:leftChars="5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省级一等奖（第一名）5+5分，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二等奖（第二-四名）3+5分，三等奖（第五-八名）2+5分；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其他工作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（40分）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设讲座、帮带活动；部门网站建设；校区建设；公开课、安排的校外培训、选项安排、标准测试工作、体育节项目组织与参与、早锻炼统计、体育社团统计、兼职督导；校内、校外各部门安排的工作及各种临时安排的工作等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每完成一次得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1</w:t>
            </w:r>
            <w:r>
              <w:rPr>
                <w:rFonts w:ascii="仿宋_GB2312" w:eastAsia="仿宋_GB2312"/>
                <w:color w:val="FF0000"/>
                <w:sz w:val="24"/>
              </w:rPr>
              <w:t>—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分（看工作量大小、资料齐全情况确定）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center"/>
          </w:tcPr>
          <w:p>
            <w:pPr>
              <w:ind w:firstLine="180" w:firstLineChars="100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各项工作原则上负责人得</w:t>
            </w:r>
            <w:r>
              <w:rPr>
                <w:rFonts w:hint="eastAsia" w:ascii="仿宋_GB2312" w:eastAsia="仿宋_GB2312"/>
                <w:color w:val="FF0000"/>
                <w:sz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</w:rPr>
              <w:t>分、参与人得</w:t>
            </w:r>
            <w:r>
              <w:rPr>
                <w:rFonts w:hint="eastAsia" w:ascii="仿宋_GB2312" w:eastAsia="仿宋_GB2312"/>
                <w:color w:val="FF0000"/>
                <w:sz w:val="18"/>
              </w:rPr>
              <w:t>1</w:t>
            </w:r>
            <w:r>
              <w:rPr>
                <w:rFonts w:hint="eastAsia" w:ascii="仿宋_GB2312" w:eastAsia="仿宋_GB2312"/>
                <w:color w:val="FF0000"/>
                <w:sz w:val="18"/>
                <w:lang w:val="en-US" w:eastAsia="zh-CN"/>
              </w:rPr>
              <w:t>-3</w:t>
            </w:r>
            <w:r>
              <w:rPr>
                <w:rFonts w:hint="eastAsia" w:ascii="仿宋_GB2312" w:eastAsia="仿宋_GB2312"/>
                <w:sz w:val="18"/>
              </w:rPr>
              <w:t>分；特殊情况经讨论给3分</w:t>
            </w:r>
            <w:r>
              <w:rPr>
                <w:rFonts w:hint="eastAsia" w:ascii="仿宋_GB2312" w:eastAsia="仿宋_GB2312"/>
                <w:color w:val="FF0000"/>
                <w:sz w:val="18"/>
                <w:lang w:eastAsia="zh-CN"/>
              </w:rPr>
              <w:t>以上</w:t>
            </w:r>
            <w:r>
              <w:rPr>
                <w:rFonts w:hint="eastAsia" w:ascii="仿宋_GB2312" w:eastAsia="仿宋_GB2312"/>
                <w:sz w:val="18"/>
              </w:rPr>
              <w:t>或底于1分。</w:t>
            </w:r>
          </w:p>
          <w:p>
            <w:pPr>
              <w:ind w:firstLine="180" w:firstLineChars="100"/>
              <w:rPr>
                <w:rFonts w:hint="eastAsia" w:ascii="仿宋_GB2312" w:eastAsia="仿宋_GB2312"/>
                <w:sz w:val="18"/>
              </w:rPr>
            </w:pPr>
          </w:p>
          <w:p>
            <w:pPr>
              <w:ind w:firstLine="180" w:firstLineChars="100"/>
              <w:rPr>
                <w:rFonts w:hint="eastAsia"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体育节等各类竞赛裁判每参与一次给</w:t>
            </w:r>
            <w:r>
              <w:rPr>
                <w:rFonts w:hint="eastAsia" w:ascii="仿宋_GB2312" w:eastAsia="仿宋_GB2312"/>
                <w:color w:val="FF0000"/>
                <w:sz w:val="1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18"/>
              </w:rPr>
              <w:t>分。</w:t>
            </w:r>
          </w:p>
          <w:p>
            <w:pPr>
              <w:ind w:firstLine="180" w:firstLineChars="100"/>
              <w:rPr>
                <w:rFonts w:hint="eastAsia"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260" w:type="dxa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所涉及到其它工作方面的资料上交（10分）</w:t>
            </w: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时效性、准确度10分：未能按规定时间上交相关资料，1次扣2分。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应上交资料被退回修改1次扣1分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 w:ascii="仿宋_GB2312" w:eastAsia="仿宋_GB2312"/>
              </w:rPr>
              <w:t>除以上各评分标准中规定的扣分要求以外的情况。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46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计</w:t>
            </w: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/>
        </w:tc>
      </w:tr>
    </w:tbl>
    <w:p>
      <w:pPr>
        <w:rPr>
          <w:rFonts w:hint="eastAsia" w:ascii="仿宋_GB2312" w:hAnsi="华文中宋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44"/>
          <w:szCs w:val="44"/>
        </w:rPr>
      </w:pPr>
    </w:p>
    <w:p>
      <w:pPr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</w:t>
      </w:r>
    </w:p>
    <w:p>
      <w:pPr>
        <w:ind w:firstLine="1440" w:firstLineChars="4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教科研工作考核评定标准</w:t>
      </w:r>
    </w:p>
    <w:p>
      <w:pPr>
        <w:ind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系部</w:t>
      </w:r>
      <w:r>
        <w:rPr>
          <w:rFonts w:hint="eastAsia"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姓名：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学年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firstLine="120" w:firstLineChars="50"/>
        <w:rPr>
          <w:rFonts w:hint="eastAsia" w:ascii="仿宋_GB2312" w:eastAsia="仿宋_GB2312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3420"/>
        <w:gridCol w:w="720"/>
        <w:gridCol w:w="720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指标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室评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系评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编制教材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3420" w:type="dxa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编著公开出版教材，本人撰写8万字以上，得10分;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restart"/>
            <w:tcBorders>
              <w:top w:val="nil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主编或副主编公开出版教材，本人撰写8万字以上得8分，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参编公开出版教材，本人撰写3万字以上，得4分；2万字以上得3分；1万字以上得2分；1万字以下，5千字以上得1分。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撰写论文（20 分）</w:t>
            </w: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核心期刊发表一篇论文得10分（按2011年北京大学出版的《中文核心期刊要目总览》）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《中国学术期刊数据库》收入杂志，发表一篇得6分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其他公开出版期刊发表一篇专业论文或教育教学论文得4分。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（同一篇论文按最高级别计。论文多人共同完成只计第一作者）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课程建设和改革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（30分）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按学校要求积极进行体育教学改革，可根据提供资料酌情给予0－5分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编写体育课程标准、教学设计等，根据相关材料可得0—5分</w:t>
            </w:r>
          </w:p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编写各种</w:t>
            </w:r>
            <w:r>
              <w:rPr>
                <w:rFonts w:hint="eastAsia" w:ascii="仿宋_GB2312" w:hAnsi="宋体" w:eastAsia="仿宋_GB2312"/>
                <w:sz w:val="24"/>
              </w:rPr>
              <w:t>教学文件等</w:t>
            </w:r>
            <w:r>
              <w:rPr>
                <w:rFonts w:hint="eastAsia" w:ascii="仿宋_GB2312" w:eastAsia="仿宋_GB2312"/>
                <w:sz w:val="24"/>
              </w:rPr>
              <w:t>可得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0—5分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体育场地、器材建设等</w:t>
            </w:r>
            <w:r>
              <w:rPr>
                <w:rFonts w:hint="eastAsia" w:ascii="仿宋_GB2312" w:eastAsia="仿宋_GB2312"/>
                <w:sz w:val="24"/>
              </w:rPr>
              <w:t>可得</w:t>
            </w:r>
            <w:r>
              <w:rPr>
                <w:rFonts w:hint="eastAsia" w:ascii="仿宋_GB2312" w:hAnsi="宋体" w:eastAsia="仿宋_GB2312"/>
                <w:sz w:val="24"/>
              </w:rPr>
              <w:t>0—5分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教师能力10分：按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《体育教师体能测试标准》评分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top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体育教学内容。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课程标准调整。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各种体育方面的文件。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场地、器材规划、设计等。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按省标准，良好以上10分；及格6分；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260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课题研究(20分)</w:t>
            </w: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承担课题：校级课题主持人得10分,参与者视实际承担任务得1—5分, 课题每上升一个级别加5分。（同一课题按最高级别，不重复计算；得分按结题年度计入。）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获校级课题研究成果一、二、三等奖、优秀奖，主持人分别得8、6、4、2分，参与者视实际承担任务得1—5分。课题每上升一个级别加5分。（同一课题不同级别的成果奖可兼得，按获奖年度计入。）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理论学习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(10分)</w:t>
            </w:r>
          </w:p>
        </w:tc>
        <w:tc>
          <w:tcPr>
            <w:tcW w:w="3420" w:type="dxa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学习高职教育、教学等各种理论，按要求保质保量完成学习笔记得10分；完成80%以上得8分；完成60%得6分；60%以下不得分。（</w:t>
            </w:r>
            <w:r>
              <w:rPr>
                <w:rFonts w:hint="eastAsia" w:ascii="仿宋_GB2312" w:eastAsia="仿宋_GB2312"/>
                <w:sz w:val="24"/>
              </w:rPr>
              <w:t>学校规定内容必学）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教科研工作资料上交（10分）</w:t>
            </w:r>
          </w:p>
        </w:tc>
        <w:tc>
          <w:tcPr>
            <w:tcW w:w="3420" w:type="dxa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时效性、准确度10分：未能按规定时间上交相关资料，有1次扣2分。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应上交资料被退回修改有1次扣1分</w:t>
            </w:r>
          </w:p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121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6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 计</w:t>
            </w:r>
          </w:p>
        </w:tc>
        <w:tc>
          <w:tcPr>
            <w:tcW w:w="342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06E2E"/>
    <w:rsid w:val="10306E2E"/>
    <w:rsid w:val="11A35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2017-09-07T00:45:00Z</dcterms:created>
  <dc:creator>陈旭平</dc:creator>
  <cp:lastModifiedBy>陈旭平</cp:lastModifiedBy>
  <dcterms:modified xsi:type="dcterms:W3CDTF">2018-03-16T07:51:14Z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