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宋体" w:hAnsi="宋体" w:eastAsia="宋体" w:cs="宋体"/>
          <w:sz w:val="24"/>
          <w:lang w:eastAsia="zh-CN"/>
        </w:rPr>
      </w:pPr>
    </w:p>
    <w:p>
      <w:pPr>
        <w:ind w:left="0" w:leftChars="0" w:firstLine="0" w:firstLineChars="0"/>
        <w:rPr>
          <w:rFonts w:ascii="宋体" w:hAnsi="宋体" w:cs="宋体"/>
          <w:sz w:val="24"/>
        </w:rPr>
      </w:pPr>
    </w:p>
    <w:p>
      <w:pPr>
        <w:ind w:left="0" w:leftChars="0" w:firstLine="0" w:firstLineChars="0"/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rPr>
          <w:rFonts w:ascii="宋体" w:hAnsi="宋体" w:cs="宋体"/>
          <w:sz w:val="24"/>
        </w:rPr>
      </w:pPr>
    </w:p>
    <w:p>
      <w:pPr>
        <w:ind w:left="0" w:leftChars="0" w:firstLine="0" w:firstLineChars="0"/>
        <w:jc w:val="center"/>
        <w:rPr>
          <w:rFonts w:ascii="微软雅黑" w:hAnsi="微软雅黑" w:eastAsia="微软雅黑" w:cs="微软雅黑"/>
          <w:b/>
          <w:bCs/>
          <w:sz w:val="44"/>
          <w:szCs w:val="44"/>
        </w:rPr>
      </w:pPr>
      <w:r>
        <w:rPr>
          <w:rFonts w:hint="eastAsia" w:ascii="微软雅黑" w:hAnsi="微软雅黑" w:eastAsia="微软雅黑" w:cs="微软雅黑"/>
          <w:b/>
          <w:bCs/>
          <w:sz w:val="44"/>
          <w:szCs w:val="44"/>
        </w:rPr>
        <w:t>《</w:t>
      </w:r>
      <w:r>
        <w:rPr>
          <w:rFonts w:hint="eastAsia" w:ascii="微软雅黑" w:hAnsi="微软雅黑" w:eastAsia="微软雅黑" w:cs="微软雅黑"/>
          <w:b/>
          <w:bCs/>
          <w:sz w:val="44"/>
          <w:szCs w:val="44"/>
          <w:lang w:eastAsia="zh-CN"/>
        </w:rPr>
        <w:t>思政教育学科资源平台</w:t>
      </w:r>
      <w:r>
        <w:rPr>
          <w:rFonts w:hint="eastAsia" w:ascii="微软雅黑" w:hAnsi="微软雅黑" w:eastAsia="微软雅黑" w:cs="微软雅黑"/>
          <w:b/>
          <w:bCs/>
          <w:sz w:val="44"/>
          <w:szCs w:val="44"/>
        </w:rPr>
        <w:t>》使用说明</w:t>
      </w: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ind w:left="0" w:leftChars="0" w:firstLine="0" w:firstLineChars="0"/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jc w:val="center"/>
        <w:rPr>
          <w:rFonts w:ascii="宋体" w:hAnsi="宋体" w:cs="宋体"/>
          <w:sz w:val="24"/>
        </w:rPr>
      </w:pPr>
    </w:p>
    <w:p>
      <w:pPr>
        <w:spacing w:before="0" w:beforeLines="0" w:after="0" w:afterLines="0" w:line="360" w:lineRule="auto"/>
        <w:ind w:left="0" w:leftChars="0" w:right="0" w:rightChars="0" w:firstLine="0" w:firstLineChars="0"/>
        <w:jc w:val="center"/>
        <w:rPr>
          <w:rFonts w:hint="eastAsia" w:ascii="宋体" w:hAnsi="宋体" w:cs="Times New Roman"/>
          <w:b/>
          <w:bCs/>
          <w:kern w:val="2"/>
          <w:sz w:val="24"/>
          <w:szCs w:val="32"/>
          <w:lang w:val="en-US" w:eastAsia="zh-CN" w:bidi="ar-SA"/>
        </w:rPr>
      </w:pPr>
      <w:r>
        <w:rPr>
          <w:rFonts w:hint="eastAsia" w:ascii="宋体" w:hAnsi="宋体" w:eastAsia="宋体" w:cs="Times New Roman"/>
          <w:b/>
          <w:bCs/>
          <w:kern w:val="2"/>
          <w:sz w:val="24"/>
          <w:szCs w:val="32"/>
          <w:lang w:val="en-US" w:eastAsia="zh-CN" w:bidi="ar-SA"/>
        </w:rPr>
        <w:t>北京森途</w:t>
      </w:r>
      <w:r>
        <w:rPr>
          <w:rFonts w:hint="eastAsia" w:ascii="宋体" w:hAnsi="宋体" w:cs="Times New Roman"/>
          <w:b/>
          <w:bCs/>
          <w:kern w:val="2"/>
          <w:sz w:val="24"/>
          <w:szCs w:val="32"/>
          <w:lang w:val="en-US" w:eastAsia="zh-CN" w:bidi="ar-SA"/>
        </w:rPr>
        <w:t>教育科技股份有限公司</w:t>
      </w:r>
    </w:p>
    <w:p>
      <w:pPr>
        <w:spacing w:before="0" w:beforeLines="0" w:after="0" w:afterLines="0" w:line="360" w:lineRule="auto"/>
        <w:ind w:left="0" w:leftChars="0" w:right="0" w:rightChars="0" w:firstLine="0" w:firstLineChars="0"/>
        <w:jc w:val="center"/>
        <w:rPr>
          <w:rFonts w:hint="eastAsia" w:ascii="宋体" w:hAnsi="宋体" w:cs="Times New Roman"/>
          <w:b/>
          <w:bCs/>
          <w:kern w:val="2"/>
          <w:sz w:val="24"/>
          <w:szCs w:val="32"/>
          <w:lang w:val="en-US" w:eastAsia="zh-CN" w:bidi="ar-SA"/>
        </w:rPr>
      </w:pPr>
    </w:p>
    <w:p>
      <w:pPr>
        <w:spacing w:before="0" w:beforeLines="0" w:after="0" w:afterLines="0" w:line="360" w:lineRule="auto"/>
        <w:ind w:left="0" w:leftChars="0" w:right="0" w:rightChars="0" w:firstLine="0" w:firstLineChars="0"/>
        <w:jc w:val="center"/>
        <w:rPr>
          <w:rFonts w:hint="default" w:ascii="宋体" w:hAnsi="宋体" w:cs="Times New Roman"/>
          <w:b/>
          <w:bCs/>
          <w:kern w:val="2"/>
          <w:sz w:val="24"/>
          <w:szCs w:val="32"/>
          <w:lang w:val="en-US" w:eastAsia="zh-CN" w:bidi="ar-SA"/>
        </w:rPr>
      </w:pPr>
    </w:p>
    <w:sdt>
      <w:sdtPr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  <w:id w:val="147462390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</w:sdtEndPr>
      <w:sdtContent>
        <w:p>
          <w:pPr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rPr>
              <w:rFonts w:hint="eastAsia" w:ascii="宋体" w:hAnsi="宋体" w:eastAsia="宋体" w:cs="宋体"/>
              <w:b/>
              <w:bCs/>
              <w:kern w:val="2"/>
              <w:sz w:val="28"/>
              <w:szCs w:val="28"/>
              <w:lang w:val="en-US" w:eastAsia="zh-CN" w:bidi="ar-SA"/>
            </w:rPr>
          </w:pPr>
        </w:p>
        <w:p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宋体" w:hAnsi="宋体" w:eastAsia="宋体" w:cs="宋体"/>
              <w:b/>
              <w:bCs/>
              <w:sz w:val="28"/>
              <w:szCs w:val="28"/>
            </w:rPr>
          </w:pPr>
          <w:r>
            <w:rPr>
              <w:rFonts w:hint="eastAsia" w:ascii="宋体" w:hAnsi="宋体" w:eastAsia="宋体" w:cs="宋体"/>
              <w:b/>
              <w:bCs/>
              <w:sz w:val="28"/>
              <w:szCs w:val="28"/>
            </w:rPr>
            <w:t>目录</w:t>
          </w:r>
        </w:p>
        <w:p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_Toc22695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一、《</w:t>
          </w:r>
          <w:r>
            <w:rPr>
              <w:rFonts w:hint="eastAsia"/>
              <w:lang w:eastAsia="zh-CN"/>
            </w:rPr>
            <w:t>思政教育学科资源平台</w:t>
          </w:r>
          <w:r>
            <w:rPr>
              <w:rFonts w:hint="eastAsia"/>
            </w:rPr>
            <w:t>》概述</w:t>
          </w:r>
          <w:r>
            <w:tab/>
          </w:r>
          <w:r>
            <w:fldChar w:fldCharType="begin"/>
          </w:r>
          <w:r>
            <w:instrText xml:space="preserve"> PAGEREF _Toc22695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_Toc12641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1.1</w:t>
          </w:r>
          <w:r>
            <w:rPr>
              <w:rFonts w:hint="eastAsia"/>
              <w:lang w:eastAsia="zh-CN"/>
            </w:rPr>
            <w:t>平台</w:t>
          </w:r>
          <w:r>
            <w:rPr>
              <w:rFonts w:hint="eastAsia"/>
            </w:rPr>
            <w:t>简介</w:t>
          </w:r>
          <w:r>
            <w:tab/>
          </w:r>
          <w:r>
            <w:fldChar w:fldCharType="begin"/>
          </w:r>
          <w:r>
            <w:instrText xml:space="preserve"> PAGEREF _Toc12641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_Toc1716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1.2</w:t>
          </w:r>
          <w:r>
            <w:rPr>
              <w:rFonts w:hint="eastAsia"/>
              <w:lang w:eastAsia="zh-CN"/>
            </w:rPr>
            <w:t>平台</w:t>
          </w:r>
          <w:r>
            <w:rPr>
              <w:rFonts w:hint="eastAsia"/>
            </w:rPr>
            <w:t>优势</w:t>
          </w:r>
          <w:r>
            <w:tab/>
          </w:r>
          <w:r>
            <w:fldChar w:fldCharType="begin"/>
          </w:r>
          <w:r>
            <w:instrText xml:space="preserve"> PAGEREF _Toc1716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_Toc23338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二、《</w:t>
          </w:r>
          <w:r>
            <w:rPr>
              <w:rFonts w:hint="eastAsia"/>
              <w:lang w:eastAsia="zh-CN"/>
            </w:rPr>
            <w:t>思政教育学科资源平台</w:t>
          </w:r>
          <w:r>
            <w:rPr>
              <w:rFonts w:hint="eastAsia"/>
            </w:rPr>
            <w:t>》访问规则</w:t>
          </w:r>
          <w:r>
            <w:tab/>
          </w:r>
          <w:r>
            <w:fldChar w:fldCharType="begin"/>
          </w:r>
          <w:r>
            <w:instrText xml:space="preserve"> PAGEREF _Toc23338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_Toc18344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2.1</w:t>
          </w:r>
          <w:r>
            <w:rPr>
              <w:rFonts w:hint="eastAsia"/>
              <w:lang w:eastAsia="zh-CN"/>
            </w:rPr>
            <w:t>平台</w:t>
          </w:r>
          <w:r>
            <w:rPr>
              <w:rFonts w:hint="eastAsia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_Toc18344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_Toc20222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2.</w:t>
          </w:r>
          <w:r>
            <w:rPr>
              <w:rFonts w:hint="eastAsia"/>
              <w:lang w:val="en-US" w:eastAsia="zh-CN"/>
            </w:rPr>
            <w:t>2</w:t>
          </w:r>
          <w:r>
            <w:rPr>
              <w:rFonts w:hint="eastAsia"/>
            </w:rPr>
            <w:t xml:space="preserve"> </w:t>
          </w:r>
          <w:r>
            <w:rPr>
              <w:rFonts w:hint="eastAsia"/>
              <w:lang w:val="en-US" w:eastAsia="zh-CN"/>
            </w:rPr>
            <w:t>登录异常</w:t>
          </w:r>
          <w:r>
            <w:tab/>
          </w:r>
          <w:r>
            <w:fldChar w:fldCharType="begin"/>
          </w:r>
          <w:r>
            <w:instrText xml:space="preserve"> PAGEREF _Toc20222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_Toc29500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三、《</w:t>
          </w:r>
          <w:r>
            <w:rPr>
              <w:rFonts w:hint="eastAsia"/>
              <w:lang w:eastAsia="zh-CN"/>
            </w:rPr>
            <w:t>思政教育学科资源平台</w:t>
          </w:r>
          <w:r>
            <w:rPr>
              <w:rFonts w:hint="eastAsia"/>
            </w:rPr>
            <w:t>》资源模块使用指南</w:t>
          </w:r>
          <w:r>
            <w:tab/>
          </w:r>
          <w:r>
            <w:fldChar w:fldCharType="begin"/>
          </w:r>
          <w:r>
            <w:instrText xml:space="preserve"> PAGEREF _Toc29500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_Toc13750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3.1</w:t>
          </w:r>
          <w:r>
            <w:rPr>
              <w:rFonts w:hint="eastAsia"/>
              <w:lang w:val="en-US" w:eastAsia="zh-Hans"/>
            </w:rPr>
            <w:t xml:space="preserve"> </w:t>
          </w:r>
          <w:r>
            <w:rPr>
              <w:rFonts w:hint="eastAsia"/>
              <w:lang w:val="en-US" w:eastAsia="zh-CN"/>
            </w:rPr>
            <w:t>知识图谱</w:t>
          </w:r>
          <w:r>
            <w:tab/>
          </w:r>
          <w:r>
            <w:fldChar w:fldCharType="begin"/>
          </w:r>
          <w:r>
            <w:instrText xml:space="preserve"> PAGEREF _Toc13750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_Toc1755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3.</w:t>
          </w:r>
          <w:r>
            <w:rPr>
              <w:rFonts w:hint="eastAsia"/>
              <w:lang w:val="en-US" w:eastAsia="zh-CN"/>
            </w:rPr>
            <w:t>2</w:t>
          </w:r>
          <w:r>
            <w:rPr>
              <w:rFonts w:hint="eastAsia"/>
            </w:rPr>
            <w:t xml:space="preserve"> 课程思政</w:t>
          </w:r>
          <w:r>
            <w:tab/>
          </w:r>
          <w:r>
            <w:fldChar w:fldCharType="begin"/>
          </w:r>
          <w:r>
            <w:instrText xml:space="preserve"> PAGEREF _Toc1755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_Toc5918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3.</w:t>
          </w:r>
          <w:r>
            <w:rPr>
              <w:rFonts w:hint="default"/>
            </w:rPr>
            <w:t>3</w:t>
          </w:r>
          <w:r>
            <w:rPr>
              <w:rFonts w:hint="eastAsia"/>
            </w:rPr>
            <w:t xml:space="preserve"> </w:t>
          </w:r>
          <w:r>
            <w:rPr>
              <w:rFonts w:hint="default"/>
            </w:rPr>
            <w:t>教学设计</w:t>
          </w:r>
          <w:r>
            <w:tab/>
          </w:r>
          <w:r>
            <w:fldChar w:fldCharType="begin"/>
          </w:r>
          <w:r>
            <w:instrText xml:space="preserve"> PAGEREF _Toc5918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_Toc13039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3.</w:t>
          </w:r>
          <w:r>
            <w:rPr>
              <w:rFonts w:hint="eastAsia"/>
              <w:lang w:val="en-US" w:eastAsia="zh-CN"/>
            </w:rPr>
            <w:t>4</w:t>
          </w:r>
          <w:r>
            <w:rPr>
              <w:rFonts w:hint="eastAsia"/>
            </w:rPr>
            <w:t xml:space="preserve"> 思政课程</w:t>
          </w:r>
          <w:r>
            <w:tab/>
          </w:r>
          <w:r>
            <w:fldChar w:fldCharType="begin"/>
          </w:r>
          <w:r>
            <w:instrText xml:space="preserve"> PAGEREF _Toc13039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_Toc12961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3.</w:t>
          </w:r>
          <w:r>
            <w:rPr>
              <w:rFonts w:hint="eastAsia"/>
              <w:lang w:val="en-US" w:eastAsia="zh-CN"/>
            </w:rPr>
            <w:t>5</w:t>
          </w:r>
          <w:r>
            <w:rPr>
              <w:rFonts w:hint="eastAsia"/>
            </w:rPr>
            <w:t xml:space="preserve"> </w:t>
          </w:r>
          <w:r>
            <w:rPr>
              <w:rFonts w:hint="eastAsia"/>
              <w:lang w:eastAsia="zh-CN"/>
            </w:rPr>
            <w:t>全景游学</w:t>
          </w:r>
          <w:r>
            <w:tab/>
          </w:r>
          <w:r>
            <w:fldChar w:fldCharType="begin"/>
          </w:r>
          <w:r>
            <w:instrText xml:space="preserve"> PAGEREF _Toc12961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_Toc20304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3.6</w:t>
          </w:r>
          <w:r>
            <w:rPr>
              <w:rFonts w:hint="default"/>
            </w:rPr>
            <w:t>非凡十年</w:t>
          </w:r>
          <w:r>
            <w:tab/>
          </w:r>
          <w:r>
            <w:fldChar w:fldCharType="begin"/>
          </w:r>
          <w:r>
            <w:instrText xml:space="preserve"> PAGEREF _Toc20304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_Toc9826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3.7</w:t>
          </w:r>
          <w:r>
            <w:rPr>
              <w:rFonts w:hint="default"/>
            </w:rPr>
            <w:t>新时代新思想</w:t>
          </w:r>
          <w:r>
            <w:tab/>
          </w:r>
          <w:r>
            <w:fldChar w:fldCharType="begin"/>
          </w:r>
          <w:r>
            <w:instrText xml:space="preserve"> PAGEREF _Toc9826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_Toc28403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3.8精神谱系</w:t>
          </w:r>
          <w:r>
            <w:tab/>
          </w:r>
          <w:r>
            <w:fldChar w:fldCharType="begin"/>
          </w:r>
          <w:r>
            <w:instrText xml:space="preserve"> PAGEREF _Toc28403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_Toc8951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3.9专题学习</w:t>
          </w:r>
          <w:r>
            <w:tab/>
          </w:r>
          <w:r>
            <w:fldChar w:fldCharType="begin"/>
          </w:r>
          <w:r>
            <w:instrText xml:space="preserve"> PAGEREF _Toc8951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_Toc16499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四、检索功能使用指南</w:t>
          </w:r>
          <w:r>
            <w:tab/>
          </w:r>
          <w:r>
            <w:fldChar w:fldCharType="begin"/>
          </w:r>
          <w:r>
            <w:instrText xml:space="preserve"> PAGEREF _Toc16499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0" w:firstLineChars="0"/>
            <w:textAlignment w:val="auto"/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_Toc16026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4.1 检索</w:t>
          </w:r>
          <w:r>
            <w:tab/>
          </w:r>
          <w:r>
            <w:fldChar w:fldCharType="begin"/>
          </w:r>
          <w:r>
            <w:instrText xml:space="preserve"> PAGEREF _Toc16026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right="0" w:rightChars="0" w:firstLine="0" w:firstLineChars="0"/>
            <w:jc w:val="both"/>
            <w:textAlignment w:val="auto"/>
            <w:outlineLvl w:val="9"/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</w:sdtContent>
    </w:sdt>
    <w:p>
      <w:pPr>
        <w:spacing w:before="93" w:beforeLines="30" w:after="93" w:afterLines="30" w:line="312" w:lineRule="auto"/>
        <w:outlineLvl w:val="9"/>
        <w:rPr>
          <w:rFonts w:hint="eastAsia" w:ascii="宋体" w:hAnsi="宋体" w:cs="宋体"/>
          <w:b/>
          <w:bCs/>
          <w:sz w:val="28"/>
          <w:szCs w:val="28"/>
        </w:rPr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pgNumType w:start="1"/>
          <w:cols w:space="720" w:num="1"/>
          <w:docGrid w:type="lines" w:linePitch="312" w:charSpace="0"/>
        </w:sectPr>
      </w:pPr>
      <w:bookmarkStart w:id="0" w:name="_Toc314019959"/>
    </w:p>
    <w:p>
      <w:pPr>
        <w:pStyle w:val="2"/>
        <w:bidi w:val="0"/>
      </w:pPr>
      <w:bookmarkStart w:id="1" w:name="_Toc22695"/>
      <w:r>
        <w:rPr>
          <w:rFonts w:hint="eastAsia"/>
        </w:rPr>
        <w:t>一、《</w:t>
      </w:r>
      <w:r>
        <w:rPr>
          <w:rFonts w:hint="eastAsia"/>
          <w:lang w:eastAsia="zh-CN"/>
        </w:rPr>
        <w:t>思政教育学科资源平台</w:t>
      </w:r>
      <w:r>
        <w:rPr>
          <w:rFonts w:hint="eastAsia"/>
        </w:rPr>
        <w:t>》概述</w:t>
      </w:r>
      <w:bookmarkEnd w:id="0"/>
      <w:bookmarkEnd w:id="1"/>
    </w:p>
    <w:p>
      <w:pPr>
        <w:pStyle w:val="3"/>
        <w:bidi w:val="0"/>
      </w:pPr>
      <w:bookmarkStart w:id="2" w:name="_Toc12641"/>
      <w:bookmarkStart w:id="3" w:name="_Toc1366130234"/>
      <w:r>
        <w:rPr>
          <w:rFonts w:hint="eastAsia"/>
        </w:rPr>
        <w:t>1.1</w:t>
      </w:r>
      <w:r>
        <w:rPr>
          <w:rFonts w:hint="eastAsia"/>
          <w:lang w:eastAsia="zh-CN"/>
        </w:rPr>
        <w:t>平台</w:t>
      </w:r>
      <w:r>
        <w:rPr>
          <w:rFonts w:hint="eastAsia"/>
        </w:rPr>
        <w:t>简介</w:t>
      </w:r>
      <w:bookmarkEnd w:id="2"/>
      <w:bookmarkEnd w:id="3"/>
    </w:p>
    <w:p>
      <w:pPr>
        <w:bidi w:val="0"/>
        <w:rPr>
          <w:rFonts w:hint="default"/>
        </w:rPr>
      </w:pPr>
      <w:r>
        <w:rPr>
          <w:rFonts w:hint="default"/>
        </w:rPr>
        <w:t>《思政教育学科资源平台》以“深挖思政教育资源素材，辅助思政课堂教学建设”的理念，深入调研思政课与专业课教师推进思政教育过程中遇到的问题，从智能工具、备课资源与经验做法等角度提供包括：知识图谱、课程思政、教学设计、思政课程、全景游学、非凡十年、新时代新思想、精神谱系、专题学习几大版块资源素材。辅助教师提升思政教育教学能力，落实立德树人根本任务。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  <w:rPr>
          <w:rFonts w:hint="eastAsia"/>
          <w:lang w:eastAsia="zh-CN"/>
        </w:rPr>
      </w:pPr>
      <w:r>
        <w:drawing>
          <wp:inline distT="0" distB="0" distL="114300" distR="114300">
            <wp:extent cx="5264785" cy="4507230"/>
            <wp:effectExtent l="0" t="0" r="8255" b="3810"/>
            <wp:docPr id="4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5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ascii="宋体" w:hAnsi="宋体" w:cs="宋体"/>
        </w:rPr>
      </w:pPr>
      <w:r>
        <w:rPr>
          <w:rFonts w:hint="eastAsia" w:ascii="宋体" w:hAnsi="宋体" w:cs="宋体"/>
        </w:rPr>
        <w:t>图1-1</w:t>
      </w:r>
      <w:r>
        <w:rPr>
          <w:rFonts w:hint="eastAsia" w:ascii="宋体" w:hAnsi="宋体" w:cs="宋体"/>
          <w:lang w:eastAsia="zh-CN"/>
        </w:rPr>
        <w:t>平台</w:t>
      </w:r>
      <w:r>
        <w:rPr>
          <w:rFonts w:hint="eastAsia" w:ascii="宋体" w:hAnsi="宋体" w:cs="宋体"/>
        </w:rPr>
        <w:t>首页（部分）</w:t>
      </w:r>
    </w:p>
    <w:p>
      <w:pPr>
        <w:pStyle w:val="3"/>
        <w:bidi w:val="0"/>
      </w:pPr>
      <w:bookmarkStart w:id="4" w:name="_Toc1803172761"/>
      <w:bookmarkStart w:id="5" w:name="_Toc1716"/>
      <w:r>
        <w:rPr>
          <w:rFonts w:hint="eastAsia"/>
        </w:rPr>
        <w:t>1.2</w:t>
      </w:r>
      <w:r>
        <w:rPr>
          <w:rFonts w:hint="eastAsia"/>
          <w:lang w:eastAsia="zh-CN"/>
        </w:rPr>
        <w:t>平台</w:t>
      </w:r>
      <w:r>
        <w:rPr>
          <w:rFonts w:hint="eastAsia"/>
        </w:rPr>
        <w:t>优势</w:t>
      </w:r>
      <w:bookmarkEnd w:id="4"/>
      <w:bookmarkEnd w:id="5"/>
    </w:p>
    <w:p>
      <w:pPr>
        <w:widowControl w:val="0"/>
        <w:numPr>
          <w:ilvl w:val="0"/>
          <w:numId w:val="1"/>
        </w:numPr>
        <w:spacing w:before="93" w:beforeLines="30" w:after="93" w:afterLines="30" w:line="360" w:lineRule="auto"/>
        <w:ind w:left="0" w:firstLine="420"/>
        <w:rPr>
          <w:rStyle w:val="14"/>
          <w:rFonts w:hint="default"/>
        </w:rPr>
      </w:pPr>
      <w:bookmarkStart w:id="6" w:name="_Toc635367663"/>
      <w:r>
        <w:rPr>
          <w:rStyle w:val="14"/>
          <w:rFonts w:hint="default"/>
        </w:rPr>
        <w:t>资源内容丰富、权威。数据库内容由人民视讯联合高校及权威机构制作开发，通过筛选、评估、论证等流程，提供不同类型的党建思政教育资源。</w:t>
      </w:r>
    </w:p>
    <w:p>
      <w:pPr>
        <w:widowControl w:val="0"/>
        <w:numPr>
          <w:ilvl w:val="0"/>
          <w:numId w:val="1"/>
        </w:numPr>
        <w:spacing w:before="93" w:beforeLines="30" w:after="93" w:afterLines="30" w:line="360" w:lineRule="auto"/>
        <w:ind w:left="0" w:firstLine="420"/>
        <w:rPr>
          <w:rStyle w:val="14"/>
          <w:rFonts w:hint="default"/>
        </w:rPr>
      </w:pPr>
      <w:r>
        <w:rPr>
          <w:rStyle w:val="14"/>
          <w:rFonts w:hint="default"/>
        </w:rPr>
        <w:t>思政元素与专业学科结合，服务高校思政教学模式创新。“课程思政”版块将思政与专业资源跨界整合，深挖具有学科特色的思政元素，并从起源、发展、技术、影响、人物等维度提供素材，打破传统的、单一的思政教育教学内容及方式，提供不同性质、适合不同专业的思政学科素材。</w:t>
      </w:r>
    </w:p>
    <w:p>
      <w:pPr>
        <w:widowControl w:val="0"/>
        <w:numPr>
          <w:ilvl w:val="0"/>
          <w:numId w:val="1"/>
        </w:numPr>
        <w:spacing w:before="93" w:beforeLines="30" w:after="93" w:afterLines="30" w:line="360" w:lineRule="auto"/>
        <w:ind w:left="0" w:firstLine="420"/>
        <w:rPr>
          <w:rStyle w:val="14"/>
          <w:rFonts w:hint="default"/>
        </w:rPr>
      </w:pPr>
      <w:r>
        <w:rPr>
          <w:rStyle w:val="14"/>
          <w:rFonts w:hint="default"/>
        </w:rPr>
        <w:t>与思政教材知识点相融合。数据库知识点专题均从教材中选择，并将其深化：从知识海洋中挑选所需资源，按照要求整理汇编，只为提供“精准、高度提炼”式的知识服务。</w:t>
      </w:r>
    </w:p>
    <w:p>
      <w:pPr>
        <w:widowControl w:val="0"/>
        <w:numPr>
          <w:ilvl w:val="0"/>
          <w:numId w:val="1"/>
        </w:numPr>
        <w:spacing w:before="93" w:beforeLines="30" w:after="93" w:afterLines="30" w:line="360" w:lineRule="auto"/>
        <w:ind w:left="0" w:firstLine="420"/>
        <w:rPr>
          <w:rStyle w:val="14"/>
          <w:rFonts w:hint="default"/>
        </w:rPr>
      </w:pPr>
      <w:r>
        <w:rPr>
          <w:rStyle w:val="14"/>
          <w:rFonts w:hint="default"/>
        </w:rPr>
        <w:t>注重资源的创新性。引用全景、融媒体等技术，赋予红色教育基地“生命力”，从而使理论知识的学习更有吸引力。</w:t>
      </w:r>
    </w:p>
    <w:p>
      <w:pPr>
        <w:widowControl w:val="0"/>
        <w:numPr>
          <w:ilvl w:val="0"/>
          <w:numId w:val="1"/>
        </w:numPr>
        <w:spacing w:before="93" w:beforeLines="30" w:after="93" w:afterLines="30" w:line="360" w:lineRule="auto"/>
        <w:ind w:left="0" w:firstLine="420"/>
        <w:rPr>
          <w:rFonts w:eastAsia="宋体" w:cs="宋体"/>
          <w:color w:val="000000"/>
          <w:sz w:val="22"/>
        </w:rPr>
      </w:pPr>
      <w:r>
        <w:rPr>
          <w:rStyle w:val="14"/>
          <w:rFonts w:hint="default"/>
        </w:rPr>
        <w:t>数据库资源受众面广，可拓展性强。数据库提供包括资讯、视频、专题等多种类型资源，并不断的延伸、拓展、深入。可单独使用也可根据场景随机组合使用，即可放置于图书馆供师生自学使用，又可嵌入教学体系中，服务于课堂教学。</w:t>
      </w:r>
    </w:p>
    <w:p>
      <w:pPr>
        <w:pStyle w:val="2"/>
        <w:numPr>
          <w:ilvl w:val="0"/>
          <w:numId w:val="2"/>
        </w:numPr>
        <w:bidi w:val="0"/>
        <w:rPr>
          <w:rFonts w:hint="eastAsia"/>
        </w:rPr>
      </w:pPr>
      <w:bookmarkStart w:id="7" w:name="_Toc23338"/>
      <w:r>
        <w:rPr>
          <w:rFonts w:hint="eastAsia"/>
        </w:rPr>
        <w:t>《</w:t>
      </w:r>
      <w:r>
        <w:rPr>
          <w:rFonts w:hint="eastAsia"/>
          <w:lang w:eastAsia="zh-CN"/>
        </w:rPr>
        <w:t>思政教育学科资源平台</w:t>
      </w:r>
      <w:r>
        <w:rPr>
          <w:rFonts w:hint="eastAsia"/>
        </w:rPr>
        <w:t>》访问规则</w:t>
      </w:r>
      <w:bookmarkEnd w:id="6"/>
      <w:bookmarkEnd w:id="7"/>
    </w:p>
    <w:p>
      <w:pPr>
        <w:numPr>
          <w:ilvl w:val="0"/>
          <w:numId w:val="0"/>
        </w:numPr>
        <w:rPr>
          <w:rFonts w:hint="eastAsia" w:eastAsia="宋体"/>
          <w:lang w:val="en-US" w:eastAsia="zh-CN"/>
        </w:rPr>
      </w:pPr>
      <w:r>
        <w:rPr>
          <w:rFonts w:hint="eastAsia"/>
          <w:b/>
          <w:bCs/>
          <w:lang w:val="en-US" w:eastAsia="zh-CN"/>
        </w:rPr>
        <w:t>网址：</w:t>
      </w:r>
      <w:r>
        <w:rPr>
          <w:rFonts w:hint="eastAsia"/>
          <w:lang w:val="en-US" w:eastAsia="zh-CN"/>
        </w:rPr>
        <w:t xml:space="preserve">http://sz.gxsentu.net/ </w:t>
      </w:r>
    </w:p>
    <w:p>
      <w:pPr>
        <w:bidi w:val="0"/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b/>
          <w:bCs/>
        </w:rPr>
        <w:t>访问方式：</w:t>
      </w:r>
      <w:r>
        <w:rPr>
          <w:rFonts w:hint="eastAsia"/>
        </w:rPr>
        <w:t>校园网IP范围内免登录浏览使用</w:t>
      </w:r>
      <w:r>
        <w:rPr>
          <w:rFonts w:hint="eastAsia"/>
          <w:lang w:val="en-US" w:eastAsia="zh-CN"/>
        </w:rPr>
        <w:t>,IP外需登录账号访问</w:t>
      </w:r>
      <w:r>
        <w:rPr>
          <w:rFonts w:hint="eastAsia"/>
          <w:lang w:eastAsia="zh-CN"/>
        </w:rPr>
        <w:t>。</w:t>
      </w:r>
    </w:p>
    <w:p>
      <w:pPr>
        <w:bidi w:val="0"/>
        <w:ind w:left="0" w:leftChars="0" w:firstLine="0" w:firstLineChars="0"/>
      </w:pPr>
      <w:r>
        <w:rPr>
          <w:rFonts w:hint="eastAsia"/>
          <w:b/>
          <w:bCs/>
          <w:lang w:val="en-US" w:eastAsia="zh-CN"/>
        </w:rPr>
        <w:t>账号</w:t>
      </w:r>
      <w:r>
        <w:rPr>
          <w:rFonts w:hint="eastAsia"/>
          <w:b/>
          <w:bCs/>
        </w:rPr>
        <w:t>注册：</w:t>
      </w:r>
      <w:r>
        <w:rPr>
          <w:rFonts w:hint="eastAsia"/>
          <w:lang w:val="en-US" w:eastAsia="zh-CN"/>
        </w:rPr>
        <w:t>由学校提供统一账号（下载账号：jscxjsxy,密码：123456</w:t>
      </w:r>
      <w:bookmarkStart w:id="36" w:name="_GoBack"/>
      <w:bookmarkEnd w:id="36"/>
      <w:r>
        <w:rPr>
          <w:rFonts w:hint="eastAsia"/>
          <w:lang w:val="en-US" w:eastAsia="zh-CN"/>
        </w:rPr>
        <w:t>）或手机号注册为使用对象账号</w:t>
      </w:r>
      <w:r>
        <w:rPr>
          <w:rFonts w:hint="default"/>
        </w:rPr>
        <w:t>。</w:t>
      </w:r>
    </w:p>
    <w:p>
      <w:pPr>
        <w:pStyle w:val="3"/>
        <w:bidi w:val="0"/>
        <w:rPr>
          <w:rFonts w:hint="eastAsia"/>
        </w:rPr>
      </w:pPr>
      <w:bookmarkStart w:id="8" w:name="_Toc1335619157"/>
      <w:bookmarkStart w:id="9" w:name="_Toc18344"/>
      <w:r>
        <w:rPr>
          <w:rFonts w:hint="eastAsia"/>
        </w:rPr>
        <w:t>2.1</w:t>
      </w:r>
      <w:bookmarkEnd w:id="8"/>
      <w:bookmarkStart w:id="10" w:name="_Toc104609608"/>
      <w:r>
        <w:rPr>
          <w:rFonts w:hint="eastAsia"/>
          <w:lang w:eastAsia="zh-CN"/>
        </w:rPr>
        <w:t>平台</w:t>
      </w:r>
      <w:r>
        <w:rPr>
          <w:rFonts w:hint="eastAsia"/>
        </w:rPr>
        <w:t>登录</w:t>
      </w:r>
      <w:bookmarkEnd w:id="9"/>
      <w:bookmarkEnd w:id="10"/>
    </w:p>
    <w:p>
      <w:pPr>
        <w:spacing w:before="93" w:beforeLines="30" w:line="312" w:lineRule="auto"/>
        <w:ind w:firstLine="480" w:firstLineChars="200"/>
        <w:rPr>
          <w:rFonts w:hint="default" w:eastAsia="宋体"/>
          <w:lang w:val="en-US" w:eastAsia="zh-CN"/>
        </w:rPr>
      </w:pPr>
      <w:r>
        <w:rPr>
          <w:rFonts w:hint="eastAsia" w:asciiTheme="minorEastAsia" w:hAnsiTheme="minorEastAsia" w:cstheme="minorEastAsia"/>
          <w:sz w:val="24"/>
        </w:rPr>
        <w:t>点击页面“登录”按钮，出现登录弹窗，填写账号、密码登录即可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auto"/>
        <w:jc w:val="center"/>
        <w:textAlignment w:val="auto"/>
        <w:rPr>
          <w:rFonts w:ascii="宋体" w:hAnsi="宋体" w:cs="宋体"/>
          <w:sz w:val="24"/>
        </w:rPr>
      </w:pPr>
      <w:r>
        <w:drawing>
          <wp:inline distT="0" distB="0" distL="114300" distR="114300">
            <wp:extent cx="4399280" cy="1624965"/>
            <wp:effectExtent l="42545" t="4445" r="53975" b="9271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rcRect l="2679" t="9421" r="4271" b="8290"/>
                    <a:stretch>
                      <a:fillRect/>
                    </a:stretch>
                  </pic:blipFill>
                  <pic:spPr>
                    <a:xfrm>
                      <a:off x="0" y="0"/>
                      <a:ext cx="4399280" cy="16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</w:pPr>
      <w:r>
        <w:rPr>
          <w:rFonts w:hint="eastAsia" w:ascii="宋体" w:hAnsi="宋体" w:cs="宋体"/>
        </w:rPr>
        <w:t>图2-</w:t>
      </w:r>
      <w:r>
        <w:rPr>
          <w:rFonts w:hint="eastAsia" w:ascii="宋体" w:hAnsi="宋体" w:cs="宋体"/>
          <w:lang w:val="en-US" w:eastAsia="zh-CN"/>
        </w:rPr>
        <w:t>1</w:t>
      </w:r>
      <w:r>
        <w:rPr>
          <w:rFonts w:hint="eastAsia" w:ascii="宋体" w:hAnsi="宋体" w:cs="宋体"/>
          <w:lang w:eastAsia="zh-CN"/>
        </w:rPr>
        <w:t>平台</w:t>
      </w:r>
      <w:r>
        <w:rPr>
          <w:rFonts w:hint="eastAsia" w:ascii="宋体" w:hAnsi="宋体" w:cs="宋体"/>
        </w:rPr>
        <w:t>首页登录弹框</w:t>
      </w:r>
    </w:p>
    <w:p>
      <w:pPr>
        <w:spacing w:before="93" w:beforeLines="30" w:after="93" w:afterLines="30" w:line="312" w:lineRule="auto"/>
        <w:outlineLvl w:val="1"/>
        <w:rPr>
          <w:rFonts w:hint="eastAsia" w:ascii="宋体" w:hAnsi="宋体" w:cs="宋体"/>
          <w:b/>
          <w:bCs/>
          <w:sz w:val="24"/>
        </w:rPr>
      </w:pPr>
    </w:p>
    <w:p>
      <w:pPr>
        <w:pStyle w:val="3"/>
        <w:bidi w:val="0"/>
      </w:pPr>
      <w:bookmarkStart w:id="11" w:name="_Toc20222"/>
      <w:r>
        <w:rPr>
          <w:rFonts w:hint="eastAsia"/>
        </w:rPr>
        <w:t>2.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登录异常</w:t>
      </w:r>
      <w:bookmarkEnd w:id="11"/>
    </w:p>
    <w:p>
      <w:pPr>
        <w:spacing w:before="93" w:beforeLines="30" w:after="93" w:afterLines="30" w:line="312" w:lineRule="auto"/>
        <w:rPr>
          <w:rFonts w:ascii="宋体" w:hAnsi="宋体" w:cs="宋体"/>
          <w:b/>
          <w:bCs/>
          <w:sz w:val="24"/>
        </w:rPr>
      </w:pPr>
      <w:r>
        <w:rPr>
          <w:rFonts w:hint="eastAsia" w:ascii="宋体" w:hAnsi="宋体" w:cs="宋体"/>
          <w:sz w:val="24"/>
        </w:rPr>
        <w:t>如下图所示，如果提示“用户名或密码错误”，则需检查输入的账号，</w:t>
      </w:r>
      <w:r>
        <w:rPr>
          <w:rFonts w:hint="eastAsia" w:ascii="宋体" w:hAnsi="宋体" w:cs="宋体"/>
          <w:sz w:val="24"/>
          <w:lang w:val="en-US" w:eastAsia="zh-CN"/>
        </w:rPr>
        <w:t>忘记密码或其他问题请加业务服务群反馈</w:t>
      </w:r>
      <w:r>
        <w:rPr>
          <w:rFonts w:hint="eastAsia" w:ascii="宋体" w:hAnsi="宋体" w:cs="宋体"/>
          <w:sz w:val="24"/>
          <w:lang w:eastAsia="zh-CN"/>
        </w:rPr>
        <w:t>（</w:t>
      </w:r>
      <w:r>
        <w:rPr>
          <w:rFonts w:hint="eastAsia" w:ascii="宋体" w:hAnsi="宋体" w:cs="宋体"/>
          <w:sz w:val="24"/>
          <w:lang w:val="en-US" w:eastAsia="zh-CN"/>
        </w:rPr>
        <w:t>QQ服务群：</w:t>
      </w:r>
      <w:r>
        <w:rPr>
          <w:rFonts w:hint="eastAsia" w:ascii="宋体" w:hAnsi="宋体" w:cs="宋体"/>
          <w:sz w:val="24"/>
        </w:rPr>
        <w:t>789517174</w:t>
      </w:r>
      <w:r>
        <w:rPr>
          <w:rFonts w:hint="eastAsia" w:ascii="宋体" w:hAnsi="宋体" w:cs="宋体"/>
          <w:sz w:val="24"/>
          <w:lang w:eastAsia="zh-CN"/>
        </w:rPr>
        <w:t>）</w:t>
      </w:r>
      <w:r>
        <w:rPr>
          <w:rFonts w:hint="eastAsia" w:ascii="宋体" w:hAnsi="宋体" w:cs="宋体"/>
          <w:sz w:val="24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auto"/>
        <w:jc w:val="center"/>
        <w:textAlignment w:val="auto"/>
        <w:rPr>
          <w:rFonts w:ascii="宋体" w:hAnsi="宋体" w:cs="宋体"/>
          <w:sz w:val="24"/>
        </w:rPr>
      </w:pPr>
      <w:r>
        <w:drawing>
          <wp:inline distT="0" distB="0" distL="114300" distR="114300">
            <wp:extent cx="4175125" cy="1763395"/>
            <wp:effectExtent l="42545" t="4445" r="49530" b="86360"/>
            <wp:docPr id="30" name="图片 6" descr="/Users/liangyi/Desktop/截屏2021-04-26 下午5.13.08.png截屏2021-04-26 下午5.13.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/Users/liangyi/Desktop/截屏2021-04-26 下午5.13.08.png截屏2021-04-26 下午5.13.08"/>
                    <pic:cNvPicPr>
                      <a:picLocks noChangeAspect="1"/>
                    </pic:cNvPicPr>
                  </pic:nvPicPr>
                  <pic:blipFill>
                    <a:blip r:embed="rId11"/>
                    <a:srcRect t="26058"/>
                    <a:stretch>
                      <a:fillRect/>
                    </a:stretch>
                  </pic:blipFill>
                  <pic:spPr>
                    <a:xfrm>
                      <a:off x="0" y="0"/>
                      <a:ext cx="417512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auto"/>
        <w:jc w:val="center"/>
        <w:textAlignment w:val="auto"/>
        <w:rPr>
          <w:rFonts w:ascii="宋体" w:hAnsi="宋体" w:cs="宋体"/>
          <w:sz w:val="24"/>
        </w:rPr>
      </w:pPr>
      <w:r>
        <w:rPr>
          <w:rFonts w:hint="eastAsia" w:ascii="宋体" w:hAnsi="宋体" w:cs="宋体"/>
        </w:rPr>
        <w:t>图2-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cs="宋体"/>
        </w:rPr>
        <w:t xml:space="preserve"> 登录提示“用户名或密码错误”</w:t>
      </w:r>
    </w:p>
    <w:p>
      <w:pPr>
        <w:pStyle w:val="2"/>
        <w:bidi w:val="0"/>
      </w:pPr>
      <w:bookmarkStart w:id="12" w:name="_Toc29500"/>
      <w:bookmarkStart w:id="13" w:name="_Toc1197299712"/>
      <w:r>
        <w:rPr>
          <w:rFonts w:hint="eastAsia"/>
        </w:rPr>
        <w:t>三、《</w:t>
      </w:r>
      <w:r>
        <w:rPr>
          <w:rFonts w:hint="eastAsia"/>
          <w:lang w:eastAsia="zh-CN"/>
        </w:rPr>
        <w:t>思政教育学科资源平台</w:t>
      </w:r>
      <w:r>
        <w:rPr>
          <w:rFonts w:hint="eastAsia"/>
        </w:rPr>
        <w:t>》资源模块使用指南</w:t>
      </w:r>
      <w:bookmarkEnd w:id="12"/>
      <w:bookmarkEnd w:id="13"/>
    </w:p>
    <w:p>
      <w:pPr>
        <w:bidi w:val="0"/>
        <w:rPr>
          <w:rFonts w:hint="eastAsia"/>
        </w:rPr>
      </w:pPr>
      <w:bookmarkStart w:id="14" w:name="OLE_LINK1"/>
      <w:r>
        <w:rPr>
          <w:rFonts w:hint="eastAsia"/>
        </w:rPr>
        <w:t>《</w:t>
      </w:r>
      <w:r>
        <w:rPr>
          <w:rFonts w:hint="eastAsia"/>
          <w:lang w:eastAsia="zh-CN"/>
        </w:rPr>
        <w:t>思政教育学科资源平台</w:t>
      </w:r>
      <w:r>
        <w:rPr>
          <w:rFonts w:hint="eastAsia"/>
        </w:rPr>
        <w:t>》包括</w:t>
      </w:r>
      <w:r>
        <w:rPr>
          <w:rFonts w:hint="default"/>
        </w:rPr>
        <w:t>知识图谱、课程思政、教学设计、思政课程、全景游学、非凡十年、新时代新思想、精神谱系、专题学习几大版块资源素材</w:t>
      </w:r>
      <w:r>
        <w:rPr>
          <w:rFonts w:hint="eastAsia"/>
          <w:lang w:eastAsia="zh-CN"/>
        </w:rPr>
        <w:t>。</w:t>
      </w:r>
      <w:r>
        <w:rPr>
          <w:rFonts w:hint="eastAsia"/>
        </w:rPr>
        <w:t>每个版块的资源内容侧重点不同，用户可根据需求，在头部导航中点击某一模块进行浏览、学习。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</w:pPr>
      <w:r>
        <w:drawing>
          <wp:inline distT="0" distB="0" distL="114300" distR="114300">
            <wp:extent cx="5273040" cy="244729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Style w:val="20"/>
          <w:rFonts w:hint="eastAsia" w:asciiTheme="minorEastAsia" w:hAnsiTheme="minorEastAsia" w:eastAsiaTheme="minorEastAsia" w:cstheme="minorEastAsia"/>
          <w:b/>
          <w:bCs w:val="0"/>
          <w:sz w:val="24"/>
          <w:szCs w:val="24"/>
        </w:rPr>
      </w:pPr>
      <w:r>
        <w:rPr>
          <w:rFonts w:hint="eastAsia" w:ascii="宋体" w:hAnsi="宋体" w:cs="宋体"/>
          <w:lang w:val="en-US" w:eastAsia="zh-Hans"/>
        </w:rPr>
        <w:t>图</w:t>
      </w:r>
      <w:r>
        <w:rPr>
          <w:rFonts w:hint="eastAsia" w:ascii="宋体" w:hAnsi="宋体" w:cs="宋体"/>
        </w:rPr>
        <w:t>3-1</w:t>
      </w:r>
      <w:r>
        <w:rPr>
          <w:rFonts w:hint="eastAsia" w:ascii="宋体" w:hAnsi="宋体" w:cs="宋体"/>
          <w:lang w:val="en-US" w:eastAsia="zh-CN"/>
        </w:rPr>
        <w:t>-1</w:t>
      </w:r>
      <w:r>
        <w:rPr>
          <w:rFonts w:hint="eastAsia" w:ascii="宋体" w:hAnsi="宋体" w:cs="宋体"/>
        </w:rPr>
        <w:t xml:space="preserve"> 头部导航</w:t>
      </w:r>
      <w:bookmarkStart w:id="15" w:name="_Toc11671"/>
      <w:bookmarkStart w:id="16" w:name="_Toc784643999"/>
    </w:p>
    <w:p>
      <w:pPr>
        <w:pStyle w:val="3"/>
        <w:bidi w:val="0"/>
        <w:rPr>
          <w:rFonts w:hint="eastAsia"/>
          <w:lang w:val="en-US" w:eastAsia="zh-CN"/>
        </w:rPr>
      </w:pPr>
      <w:bookmarkStart w:id="17" w:name="_Toc13750"/>
      <w:r>
        <w:rPr>
          <w:rFonts w:hint="eastAsia"/>
        </w:rPr>
        <w:t>3.1</w:t>
      </w:r>
      <w:r>
        <w:rPr>
          <w:rFonts w:hint="eastAsia"/>
          <w:lang w:val="en-US" w:eastAsia="zh-Hans"/>
        </w:rPr>
        <w:t xml:space="preserve"> </w:t>
      </w:r>
      <w:bookmarkEnd w:id="15"/>
      <w:bookmarkEnd w:id="16"/>
      <w:r>
        <w:rPr>
          <w:rFonts w:hint="eastAsia"/>
          <w:lang w:val="en-US" w:eastAsia="zh-CN"/>
        </w:rPr>
        <w:t>知识图谱</w:t>
      </w:r>
      <w:bookmarkEnd w:id="17"/>
    </w:p>
    <w:p>
      <w:pPr>
        <w:bidi w:val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点击头部导航中的“</w:t>
      </w:r>
      <w:r>
        <w:rPr>
          <w:rFonts w:hint="eastAsia"/>
          <w:lang w:val="en-US" w:eastAsia="zh-CN"/>
        </w:rPr>
        <w:t>知识图谱</w:t>
      </w:r>
      <w:r>
        <w:rPr>
          <w:rFonts w:hint="eastAsia"/>
          <w:lang w:val="en-US" w:eastAsia="zh-Hans"/>
        </w:rPr>
        <w:t>”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页面跳转至“</w:t>
      </w:r>
      <w:r>
        <w:rPr>
          <w:rFonts w:hint="eastAsia"/>
          <w:lang w:val="en-US" w:eastAsia="zh-CN"/>
        </w:rPr>
        <w:t>知识图谱</w:t>
      </w:r>
      <w:r>
        <w:rPr>
          <w:rFonts w:hint="eastAsia"/>
          <w:lang w:val="en-US" w:eastAsia="zh-Hans"/>
        </w:rPr>
        <w:t>”页面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结合《高等学校课程思政建设指导纲要》文件精神并调研分析关键思政元素，引入思政元素表概念。将重要且高频的思政关键元素</w:t>
      </w:r>
      <w:r>
        <w:rPr>
          <w:rFonts w:hint="eastAsia"/>
          <w:lang w:val="en-US" w:eastAsia="zh-Hans"/>
        </w:rPr>
        <w:t>进行</w:t>
      </w:r>
      <w:r>
        <w:rPr>
          <w:rFonts w:hint="eastAsia"/>
          <w:lang w:val="en-US" w:eastAsia="zh-CN"/>
        </w:rPr>
        <w:t>筛选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一键点击思政元素即可展开知识图谱获取备课参考文献。</w:t>
      </w:r>
    </w:p>
    <w:p>
      <w:pPr>
        <w:bidi w:val="0"/>
        <w:rPr>
          <w:rFonts w:hint="eastAsia"/>
          <w:lang w:eastAsia="zh-Hans"/>
        </w:rPr>
      </w:pPr>
      <w:r>
        <w:rPr>
          <w:rFonts w:hint="eastAsia"/>
          <w:lang w:val="en-US" w:eastAsia="zh-Hans"/>
        </w:rPr>
        <w:t>下图所示为思政元素表</w:t>
      </w:r>
      <w:r>
        <w:rPr>
          <w:rFonts w:hint="eastAsia"/>
          <w:lang w:eastAsia="zh-Hans"/>
        </w:rPr>
        <w:t>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12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b w:val="0"/>
          <w:bCs/>
          <w:sz w:val="24"/>
          <w:szCs w:val="24"/>
          <w:lang w:eastAsia="zh-Hans"/>
        </w:rPr>
      </w:pPr>
      <w:r>
        <w:drawing>
          <wp:inline distT="0" distB="0" distL="114300" distR="114300">
            <wp:extent cx="5264785" cy="3713480"/>
            <wp:effectExtent l="0" t="0" r="8255" b="508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1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eastAsia" w:ascii="宋体" w:hAnsi="宋体" w:eastAsia="宋体" w:cs="宋体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图</w:t>
      </w:r>
      <w:r>
        <w:rPr>
          <w:rFonts w:hint="eastAsia" w:ascii="宋体" w:hAnsi="宋体" w:eastAsia="宋体" w:cs="宋体"/>
          <w:lang w:eastAsia="zh-Hans"/>
        </w:rPr>
        <w:t>3-</w:t>
      </w:r>
      <w:r>
        <w:rPr>
          <w:rFonts w:hint="eastAsia" w:ascii="宋体" w:hAnsi="宋体" w:eastAsia="宋体" w:cs="宋体"/>
          <w:lang w:val="en-US" w:eastAsia="zh-CN"/>
        </w:rPr>
        <w:t>1-2</w:t>
      </w:r>
      <w:r>
        <w:rPr>
          <w:rFonts w:hint="eastAsia" w:ascii="宋体" w:hAnsi="宋体" w:eastAsia="宋体" w:cs="宋体"/>
          <w:lang w:eastAsia="zh-Hans"/>
        </w:rPr>
        <w:t xml:space="preserve"> </w:t>
      </w:r>
      <w:r>
        <w:rPr>
          <w:rFonts w:hint="eastAsia" w:ascii="宋体" w:hAnsi="宋体" w:eastAsia="宋体" w:cs="宋体"/>
          <w:lang w:val="en-US" w:eastAsia="zh-Hans"/>
        </w:rPr>
        <w:t>思政元素表</w:t>
      </w:r>
    </w:p>
    <w:p>
      <w:pPr>
        <w:bidi w:val="0"/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点击“元素表”中的任意思政元素关键词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即可跳转到如下图所示的知识图谱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例如</w:t>
      </w:r>
      <w:r>
        <w:rPr>
          <w:rFonts w:hint="default"/>
          <w:lang w:eastAsia="zh-Hans"/>
        </w:rPr>
        <w:t>：</w:t>
      </w:r>
      <w:r>
        <w:rPr>
          <w:rFonts w:hint="eastAsia"/>
          <w:lang w:val="en-US" w:eastAsia="zh-Hans"/>
        </w:rPr>
        <w:t>如果想查找关于“</w:t>
      </w:r>
      <w:r>
        <w:rPr>
          <w:rFonts w:hint="eastAsia"/>
          <w:lang w:val="en-US" w:eastAsia="zh-CN"/>
        </w:rPr>
        <w:t>社会责任</w:t>
      </w:r>
      <w:r>
        <w:rPr>
          <w:rFonts w:hint="eastAsia"/>
          <w:lang w:val="en-US" w:eastAsia="zh-Hans"/>
        </w:rPr>
        <w:t>”的相关备课参考文献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那么需点击元素表中的“</w:t>
      </w:r>
      <w:r>
        <w:rPr>
          <w:rFonts w:hint="eastAsia"/>
          <w:lang w:val="en-US" w:eastAsia="zh-CN"/>
        </w:rPr>
        <w:t>社会责任</w:t>
      </w:r>
      <w:r>
        <w:rPr>
          <w:rFonts w:hint="eastAsia"/>
          <w:lang w:val="en-US" w:eastAsia="zh-Hans"/>
        </w:rPr>
        <w:t>”关键词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跳转到如下图所示的与</w:t>
      </w:r>
      <w:r>
        <w:rPr>
          <w:rFonts w:hint="eastAsia"/>
          <w:lang w:val="en-US" w:eastAsia="zh-CN"/>
        </w:rPr>
        <w:t>社会责任</w:t>
      </w:r>
      <w:r>
        <w:rPr>
          <w:rFonts w:hint="eastAsia"/>
          <w:lang w:val="en-US" w:eastAsia="zh-Hans"/>
        </w:rPr>
        <w:t>相关的知识图谱</w:t>
      </w:r>
      <w:r>
        <w:rPr>
          <w:rFonts w:hint="default"/>
          <w:lang w:eastAsia="zh-Hans"/>
        </w:rPr>
        <w:t>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auto"/>
        <w:ind w:left="0" w:leftChars="0" w:right="0" w:rightChars="0" w:firstLine="0" w:firstLineChars="0"/>
        <w:jc w:val="both"/>
        <w:textAlignment w:val="auto"/>
        <w:rPr>
          <w:rFonts w:hint="eastAsia"/>
          <w:b w:val="0"/>
          <w:bCs/>
          <w:sz w:val="24"/>
          <w:szCs w:val="24"/>
          <w:lang w:eastAsia="zh-Hans"/>
        </w:rPr>
      </w:pPr>
      <w:r>
        <w:drawing>
          <wp:inline distT="0" distB="0" distL="114300" distR="114300">
            <wp:extent cx="5265420" cy="2599055"/>
            <wp:effectExtent l="0" t="0" r="7620" b="698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eastAsia" w:ascii="宋体" w:hAnsi="宋体" w:eastAsia="宋体" w:cs="宋体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图3-</w:t>
      </w:r>
      <w:r>
        <w:rPr>
          <w:rFonts w:hint="eastAsia" w:ascii="宋体" w:hAnsi="宋体" w:eastAsia="宋体" w:cs="宋体"/>
          <w:lang w:val="en-US" w:eastAsia="zh-CN"/>
        </w:rPr>
        <w:t>1-3</w:t>
      </w:r>
      <w:r>
        <w:rPr>
          <w:rFonts w:hint="eastAsia" w:ascii="宋体" w:hAnsi="宋体" w:eastAsia="宋体" w:cs="宋体"/>
          <w:lang w:val="en-US" w:eastAsia="zh-Hans"/>
        </w:rPr>
        <w:t xml:space="preserve"> 知识图谱</w:t>
      </w:r>
    </w:p>
    <w:p>
      <w:pPr>
        <w:bidi w:val="0"/>
        <w:rPr>
          <w:rFonts w:hint="eastAsia"/>
          <w:lang w:eastAsia="zh-Hans"/>
        </w:rPr>
      </w:pPr>
      <w:r>
        <w:rPr>
          <w:rFonts w:hint="eastAsia"/>
          <w:lang w:val="en-US" w:eastAsia="zh-Hans"/>
        </w:rPr>
        <w:t>点击知识图谱中圆圈内的相关关键词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即可跳转到如下图所示的“信息列表弹框”界面</w:t>
      </w:r>
      <w:r>
        <w:rPr>
          <w:rFonts w:hint="default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b w:val="0"/>
          <w:bCs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12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/>
          <w:b w:val="0"/>
          <w:bCs/>
          <w:sz w:val="24"/>
          <w:szCs w:val="24"/>
          <w:lang w:eastAsia="zh-Hans"/>
        </w:rPr>
      </w:pPr>
      <w:r>
        <w:drawing>
          <wp:inline distT="0" distB="0" distL="114300" distR="114300">
            <wp:extent cx="5265420" cy="4168140"/>
            <wp:effectExtent l="0" t="0" r="7620" b="762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eastAsia" w:ascii="宋体" w:hAnsi="宋体" w:eastAsia="宋体" w:cs="宋体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图3-</w:t>
      </w:r>
      <w:r>
        <w:rPr>
          <w:rFonts w:hint="eastAsia" w:ascii="宋体" w:hAnsi="宋体" w:eastAsia="宋体" w:cs="宋体"/>
          <w:lang w:val="en-US" w:eastAsia="zh-CN"/>
        </w:rPr>
        <w:t>1-4</w:t>
      </w:r>
      <w:r>
        <w:rPr>
          <w:rFonts w:hint="eastAsia" w:ascii="宋体" w:hAnsi="宋体" w:eastAsia="宋体" w:cs="宋体"/>
          <w:lang w:val="en-US" w:eastAsia="zh-Hans"/>
        </w:rPr>
        <w:t xml:space="preserve"> 信息列表弹框</w:t>
      </w:r>
    </w:p>
    <w:p>
      <w:pPr>
        <w:pStyle w:val="3"/>
        <w:bidi w:val="0"/>
      </w:pPr>
      <w:bookmarkStart w:id="18" w:name="_Toc1755"/>
      <w:bookmarkStart w:id="19" w:name="_Toc1848833003"/>
      <w:r>
        <w:rPr>
          <w:rFonts w:hint="eastAsia"/>
        </w:rPr>
        <w:t>3.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 xml:space="preserve"> 课程思政</w:t>
      </w:r>
      <w:bookmarkEnd w:id="18"/>
      <w:bookmarkEnd w:id="19"/>
    </w:p>
    <w:p>
      <w:pPr>
        <w:bidi w:val="0"/>
      </w:pPr>
      <w:r>
        <w:rPr>
          <w:rFonts w:hint="eastAsia"/>
        </w:rPr>
        <w:t>点击头部导航中的“课程思政”，页面即跳转至“课程思政”页面。“课程思政”根据13个学科大类、100多个专业学科的不同特点，深挖与专业相关的思政资源素材提供千余部可融合的案例素材。</w:t>
      </w:r>
    </w:p>
    <w:p>
      <w:pPr>
        <w:bidi w:val="0"/>
      </w:pPr>
      <w:r>
        <w:rPr>
          <w:rFonts w:hint="eastAsia"/>
        </w:rPr>
        <w:t>如下图所示，课程资源的分类按照学科和思政两种维度进行，其中“一级学科”的分类默认为收起状态，点击“展开”即可查看所有的一级学科分类。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9865" cy="3105785"/>
            <wp:effectExtent l="0" t="0" r="3175" b="317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  <w:jc w:val="center"/>
      </w:pPr>
      <w:r>
        <w:rPr>
          <w:rFonts w:hint="eastAsia"/>
        </w:rPr>
        <w:t>图3-</w:t>
      </w:r>
      <w:r>
        <w:rPr>
          <w:rFonts w:hint="eastAsia"/>
          <w:lang w:val="en-US" w:eastAsia="zh-CN"/>
        </w:rPr>
        <w:t>2-1</w:t>
      </w:r>
      <w:r>
        <w:rPr>
          <w:rFonts w:hint="eastAsia"/>
        </w:rPr>
        <w:t xml:space="preserve"> 课程思政分类导航</w:t>
      </w:r>
    </w:p>
    <w:p>
      <w:pPr>
        <w:bidi w:val="0"/>
      </w:pPr>
      <w:r>
        <w:rPr>
          <w:rFonts w:hint="eastAsia"/>
        </w:rPr>
        <w:t>如果想查找关于“</w:t>
      </w:r>
      <w:r>
        <w:rPr>
          <w:rFonts w:hint="eastAsia"/>
          <w:lang w:val="en-US" w:eastAsia="zh-CN"/>
        </w:rPr>
        <w:t>新闻传播学</w:t>
      </w:r>
      <w:r>
        <w:rPr>
          <w:rFonts w:hint="eastAsia"/>
        </w:rPr>
        <w:t>”的课程思政资源素材，则只需点击学科门类“</w:t>
      </w:r>
      <w:r>
        <w:rPr>
          <w:rFonts w:hint="eastAsia"/>
          <w:lang w:val="en-US" w:eastAsia="zh-CN"/>
        </w:rPr>
        <w:t>文学</w:t>
      </w:r>
      <w:r>
        <w:rPr>
          <w:rFonts w:hint="eastAsia"/>
        </w:rPr>
        <w:t>”及一级学科的“</w:t>
      </w:r>
      <w:r>
        <w:rPr>
          <w:rFonts w:hint="eastAsia"/>
          <w:lang w:val="en-US" w:eastAsia="zh-CN"/>
        </w:rPr>
        <w:t>新闻传播学</w:t>
      </w:r>
      <w:r>
        <w:rPr>
          <w:rFonts w:hint="eastAsia"/>
        </w:rPr>
        <w:t>”，则可显示全部与</w:t>
      </w:r>
      <w:r>
        <w:rPr>
          <w:rFonts w:hint="eastAsia"/>
          <w:lang w:val="en-US" w:eastAsia="zh-CN"/>
        </w:rPr>
        <w:t>文</w:t>
      </w:r>
      <w:r>
        <w:rPr>
          <w:rFonts w:hint="eastAsia"/>
        </w:rPr>
        <w:t>学相关的思政视频资源素材，查看</w:t>
      </w:r>
      <w:r>
        <w:rPr>
          <w:rFonts w:hint="eastAsia"/>
          <w:lang w:val="en-US" w:eastAsia="zh-CN"/>
        </w:rPr>
        <w:t>融入思政元素的资源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ascii="宋体" w:hAnsi="宋体" w:cs="宋体"/>
          <w:sz w:val="24"/>
        </w:rPr>
      </w:pPr>
      <w:r>
        <w:drawing>
          <wp:inline distT="0" distB="0" distL="114300" distR="114300">
            <wp:extent cx="5273675" cy="2131695"/>
            <wp:effectExtent l="0" t="0" r="14605" b="1905"/>
            <wp:docPr id="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  <w:jc w:val="center"/>
      </w:pPr>
      <w:r>
        <w:rPr>
          <w:rFonts w:hint="eastAsia"/>
        </w:rPr>
        <w:t>图3-</w:t>
      </w:r>
      <w:r>
        <w:rPr>
          <w:rFonts w:hint="eastAsia"/>
          <w:lang w:val="en-US" w:eastAsia="zh-CN"/>
        </w:rPr>
        <w:t>2-2</w:t>
      </w:r>
      <w:r>
        <w:rPr>
          <w:rFonts w:hint="eastAsia"/>
        </w:rPr>
        <w:t xml:space="preserve"> </w:t>
      </w:r>
      <w:r>
        <w:rPr>
          <w:rFonts w:hint="eastAsia"/>
          <w:lang w:val="en-US" w:eastAsia="zh-Hans"/>
        </w:rPr>
        <w:t>新闻传播学</w:t>
      </w:r>
      <w:r>
        <w:rPr>
          <w:rFonts w:hint="eastAsia"/>
        </w:rPr>
        <w:t>人物相关的资源素材内容</w:t>
      </w:r>
    </w:p>
    <w:p>
      <w:pPr>
        <w:spacing w:before="93" w:beforeLines="30" w:after="93" w:afterLines="30" w:line="312" w:lineRule="auto"/>
        <w:ind w:firstLine="480"/>
        <w:rPr>
          <w:rFonts w:hint="eastAsia" w:ascii="宋体" w:hAnsi="宋体" w:cs="宋体"/>
          <w:sz w:val="24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未登录</w:t>
      </w:r>
      <w:r>
        <w:rPr>
          <w:rFonts w:hint="eastAsia" w:ascii="宋体" w:hAnsi="宋体" w:cs="宋体"/>
          <w:sz w:val="24"/>
          <w:lang w:val="en-US" w:eastAsia="zh-CN"/>
        </w:rPr>
        <w:t>可</w:t>
      </w:r>
      <w:r>
        <w:rPr>
          <w:rFonts w:hint="eastAsia" w:ascii="宋体" w:hAnsi="宋体" w:cs="宋体"/>
          <w:sz w:val="24"/>
        </w:rPr>
        <w:t>点击</w:t>
      </w:r>
      <w:r>
        <w:rPr>
          <w:rFonts w:hint="eastAsia" w:ascii="宋体" w:hAnsi="宋体" w:cs="宋体"/>
          <w:sz w:val="24"/>
          <w:lang w:val="en-US" w:eastAsia="zh-CN"/>
        </w:rPr>
        <w:t>浏览视频与课件资源</w:t>
      </w:r>
      <w:r>
        <w:rPr>
          <w:rFonts w:hint="default" w:ascii="宋体" w:hAnsi="宋体" w:cs="宋体"/>
          <w:sz w:val="24"/>
          <w:lang w:eastAsia="zh-Hans"/>
        </w:rPr>
        <w:t>，</w:t>
      </w:r>
      <w:r>
        <w:rPr>
          <w:rFonts w:hint="eastAsia" w:ascii="宋体" w:hAnsi="宋体" w:cs="宋体"/>
          <w:b/>
          <w:bCs/>
          <w:sz w:val="24"/>
          <w:lang w:val="en-US" w:eastAsia="zh-Hans"/>
        </w:rPr>
        <w:t>登录账号</w:t>
      </w:r>
      <w:r>
        <w:rPr>
          <w:rFonts w:hint="eastAsia" w:ascii="宋体" w:hAnsi="宋体" w:cs="宋体"/>
          <w:sz w:val="24"/>
          <w:lang w:val="en-US" w:eastAsia="zh-Hans"/>
        </w:rPr>
        <w:t>即可进行视频和</w:t>
      </w:r>
      <w:r>
        <w:rPr>
          <w:rFonts w:hint="default" w:ascii="宋体" w:hAnsi="宋体" w:cs="宋体"/>
          <w:sz w:val="24"/>
          <w:lang w:eastAsia="zh-Hans"/>
        </w:rPr>
        <w:t>PPT</w:t>
      </w:r>
      <w:r>
        <w:rPr>
          <w:rFonts w:hint="eastAsia" w:ascii="宋体" w:hAnsi="宋体" w:cs="宋体"/>
          <w:sz w:val="24"/>
          <w:lang w:val="en-US" w:eastAsia="zh-Hans"/>
        </w:rPr>
        <w:t>的下载</w:t>
      </w:r>
      <w:r>
        <w:rPr>
          <w:rFonts w:hint="eastAsia" w:ascii="宋体" w:hAnsi="宋体" w:cs="宋体"/>
          <w:sz w:val="24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</w:rPr>
      </w:pPr>
      <w:r>
        <w:drawing>
          <wp:inline distT="0" distB="0" distL="114300" distR="114300">
            <wp:extent cx="2597150" cy="1311910"/>
            <wp:effectExtent l="42545" t="4445" r="57785" b="85725"/>
            <wp:docPr id="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rcRect l="7684" t="12270" r="7973" b="24558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057400" cy="1291590"/>
            <wp:effectExtent l="42545" t="4445" r="59055" b="100965"/>
            <wp:docPr id="14" name="图片 14" descr="iShot2021-05-10 16.51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Shot2021-05-10 16.51.0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29159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  <w:jc w:val="center"/>
        <w:rPr>
          <w:rFonts w:hint="eastAsia"/>
          <w:lang w:val="en-US" w:eastAsia="zh-Hans"/>
        </w:rPr>
      </w:pPr>
      <w:r>
        <w:rPr>
          <w:rFonts w:hint="eastAsia"/>
        </w:rPr>
        <w:t>图3-</w:t>
      </w:r>
      <w:r>
        <w:rPr>
          <w:rFonts w:hint="eastAsia"/>
          <w:lang w:val="en-US" w:eastAsia="zh-CN"/>
        </w:rPr>
        <w:t>2-3</w:t>
      </w:r>
      <w:r>
        <w:rPr>
          <w:rFonts w:hint="eastAsia"/>
        </w:rPr>
        <w:t xml:space="preserve"> </w:t>
      </w:r>
      <w:r>
        <w:rPr>
          <w:rFonts w:hint="eastAsia"/>
          <w:lang w:val="en-US" w:eastAsia="zh-Hans"/>
        </w:rPr>
        <w:t>新闻传播学</w:t>
      </w:r>
      <w:r>
        <w:rPr>
          <w:rFonts w:hint="eastAsia"/>
        </w:rPr>
        <w:t>资源素材内容</w:t>
      </w:r>
      <w:r>
        <w:rPr>
          <w:rFonts w:hint="eastAsia"/>
          <w:lang w:val="en-US" w:eastAsia="zh-Hans"/>
        </w:rPr>
        <w:t>观看和下载界面</w:t>
      </w:r>
    </w:p>
    <w:p>
      <w:pPr>
        <w:bidi w:val="0"/>
        <w:rPr>
          <w:rFonts w:hint="default"/>
          <w:lang w:eastAsia="zh-Hans"/>
        </w:rPr>
      </w:pPr>
      <w:r>
        <w:rPr>
          <w:rFonts w:hint="default"/>
          <w:lang w:eastAsia="zh-Hans"/>
        </w:rPr>
        <w:t>PPT</w:t>
      </w:r>
      <w:r>
        <w:rPr>
          <w:rFonts w:hint="eastAsia"/>
          <w:lang w:val="en-US" w:eastAsia="zh-CN"/>
        </w:rPr>
        <w:t>/</w:t>
      </w:r>
      <w:r>
        <w:rPr>
          <w:rFonts w:hint="eastAsia"/>
          <w:lang w:val="en-US" w:eastAsia="zh-Hans"/>
        </w:rPr>
        <w:t>视频的下载</w:t>
      </w:r>
      <w:r>
        <w:rPr>
          <w:rFonts w:hint="default"/>
          <w:lang w:eastAsia="zh-Hans"/>
        </w:rPr>
        <w:t>：</w:t>
      </w:r>
      <w:r>
        <w:rPr>
          <w:rFonts w:hint="eastAsia"/>
          <w:lang w:val="en-US" w:eastAsia="zh-Hans"/>
        </w:rPr>
        <w:t>点击上图黄框内的下载按钮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直接可下载到本地</w:t>
      </w:r>
      <w:r>
        <w:rPr>
          <w:rFonts w:hint="default"/>
          <w:lang w:eastAsia="zh-Hans"/>
        </w:rPr>
        <w:t>。</w:t>
      </w:r>
    </w:p>
    <w:p>
      <w:pPr>
        <w:pStyle w:val="3"/>
        <w:bidi w:val="0"/>
        <w:rPr>
          <w:rFonts w:hint="default"/>
        </w:rPr>
      </w:pPr>
      <w:bookmarkStart w:id="20" w:name="_Toc5918"/>
      <w:r>
        <w:rPr>
          <w:rFonts w:hint="eastAsia"/>
        </w:rPr>
        <w:t>3.</w:t>
      </w:r>
      <w:r>
        <w:rPr>
          <w:rFonts w:hint="default"/>
        </w:rPr>
        <w:t>3</w:t>
      </w:r>
      <w:r>
        <w:rPr>
          <w:rFonts w:hint="eastAsia"/>
        </w:rPr>
        <w:t xml:space="preserve"> </w:t>
      </w:r>
      <w:r>
        <w:rPr>
          <w:rFonts w:hint="default"/>
        </w:rPr>
        <w:t>教学设计</w:t>
      </w:r>
      <w:bookmarkEnd w:id="20"/>
    </w:p>
    <w:p>
      <w:pPr>
        <w:bidi w:val="0"/>
        <w:rPr>
          <w:rFonts w:hint="default"/>
        </w:rPr>
      </w:pPr>
      <w:r>
        <w:rPr>
          <w:rFonts w:hint="default"/>
        </w:rPr>
        <w:t>教学设计模块以《高等学校课程思政建设指导纲要》为理论指导，以强化示范引领，强化资源共享为理念教学要讲究方法，教学设计的目标是通过教学内容的高度提炼、教学方式方法的合理有效运用、教学过程的精心安排，深入浅出，旁征博引，把复杂的问题讲简单，通俗易懂，便于理解。通过基础信息的分析、教学环节及活动的设计、教学反思与评价的促进，打破以教师的“教”为主的传统课堂，转变为以学生的“学”为主的课堂，让每堂课深入人心，要引起学生的兴趣，要掌控课堂氛围，全面推进课程思政高质量建设。</w:t>
      </w:r>
    </w:p>
    <w:p>
      <w:pPr>
        <w:jc w:val="center"/>
        <w:rPr>
          <w:rFonts w:asciiTheme="minorEastAsia" w:hAnsiTheme="minorEastAsia" w:eastAsiaTheme="minorEastAsia" w:cstheme="minorEastAsia"/>
          <w:szCs w:val="21"/>
        </w:rPr>
      </w:pPr>
      <w:r>
        <w:rPr>
          <w:rFonts w:hint="eastAsia" w:asciiTheme="minorEastAsia" w:hAnsiTheme="minorEastAsia" w:eastAsiaTheme="minorEastAsia" w:cstheme="minorEastAsia"/>
          <w:szCs w:val="21"/>
        </w:rPr>
        <w:drawing>
          <wp:inline distT="0" distB="0" distL="114300" distR="114300">
            <wp:extent cx="4258310" cy="2726055"/>
            <wp:effectExtent l="42545" t="4445" r="57785" b="8890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 r="1455"/>
                    <a:stretch>
                      <a:fillRect/>
                    </a:stretch>
                  </pic:blipFill>
                  <pic:spPr>
                    <a:xfrm>
                      <a:off x="0" y="0"/>
                      <a:ext cx="4258310" cy="272605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Cs w:val="21"/>
        </w:rPr>
      </w:pPr>
      <w:r>
        <w:rPr>
          <w:rFonts w:hint="eastAsia" w:asciiTheme="minorEastAsia" w:hAnsiTheme="minorEastAsia" w:eastAsiaTheme="minorEastAsia" w:cstheme="minorEastAsia"/>
          <w:szCs w:val="21"/>
        </w:rPr>
        <w:t>图3-</w:t>
      </w:r>
      <w:r>
        <w:rPr>
          <w:rFonts w:asciiTheme="minorEastAsia" w:hAnsiTheme="minorEastAsia" w:eastAsiaTheme="minorEastAsia" w:cstheme="minorEastAsia"/>
          <w:szCs w:val="21"/>
        </w:rPr>
        <w:t>3-1</w:t>
      </w:r>
      <w:r>
        <w:rPr>
          <w:rFonts w:hint="eastAsia" w:asciiTheme="minorEastAsia" w:hAnsiTheme="minorEastAsia" w:eastAsiaTheme="minorEastAsia" w:cstheme="minorEastAsia"/>
          <w:szCs w:val="21"/>
        </w:rPr>
        <w:t xml:space="preserve"> </w:t>
      </w:r>
      <w:r>
        <w:rPr>
          <w:rFonts w:hint="default"/>
        </w:rPr>
        <w:t>教学设计</w:t>
      </w:r>
      <w:r>
        <w:rPr>
          <w:rFonts w:hint="eastAsia" w:asciiTheme="minorEastAsia" w:hAnsiTheme="minorEastAsia" w:eastAsiaTheme="minorEastAsia" w:cstheme="minorEastAsia"/>
          <w:szCs w:val="21"/>
        </w:rPr>
        <w:t>资源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主界面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ind w:left="0" w:leftChars="0" w:firstLine="0" w:firstLineChars="0"/>
        <w:jc w:val="both"/>
        <w:rPr>
          <w:rFonts w:hint="eastAsia" w:asciiTheme="minorEastAsia" w:hAnsiTheme="minorEastAsia" w:eastAsiaTheme="minorEastAsia" w:cstheme="minorEastAsia"/>
          <w:szCs w:val="21"/>
        </w:rPr>
      </w:pPr>
    </w:p>
    <w:p>
      <w:pPr>
        <w:bidi w:val="0"/>
        <w:rPr>
          <w:rFonts w:hint="eastAsia" w:asciiTheme="minorEastAsia" w:hAnsiTheme="minorEastAsia" w:eastAsiaTheme="minorEastAsia" w:cstheme="minorEastAsia"/>
          <w:szCs w:val="21"/>
        </w:rPr>
      </w:pPr>
      <w:r>
        <w:rPr>
          <w:rFonts w:hint="eastAsia"/>
          <w:lang w:val="en-US" w:eastAsia="zh-CN"/>
        </w:rPr>
        <w:t>点击相应学科，即可打开课程详情页，查看不同类型资源。</w:t>
      </w:r>
    </w:p>
    <w:p>
      <w:pPr>
        <w:jc w:val="center"/>
        <w:rPr>
          <w:rFonts w:hint="eastAsia" w:asciiTheme="minorEastAsia" w:hAnsiTheme="minorEastAsia" w:eastAsiaTheme="minorEastAsia" w:cstheme="minorEastAsia"/>
          <w:szCs w:val="21"/>
        </w:rPr>
      </w:pPr>
      <w:r>
        <w:rPr>
          <w:rFonts w:hint="eastAsia" w:asciiTheme="minorEastAsia" w:hAnsiTheme="minorEastAsia" w:eastAsiaTheme="minorEastAsia" w:cstheme="minorEastAsia"/>
          <w:szCs w:val="21"/>
        </w:rPr>
        <w:drawing>
          <wp:inline distT="0" distB="0" distL="114300" distR="114300">
            <wp:extent cx="4390390" cy="1981835"/>
            <wp:effectExtent l="42545" t="4445" r="47625" b="8636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" r="-462"/>
                    <a:stretch>
                      <a:fillRect/>
                    </a:stretch>
                  </pic:blipFill>
                  <pic:spPr>
                    <a:xfrm>
                      <a:off x="0" y="0"/>
                      <a:ext cx="439039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Cs w:val="21"/>
        </w:rPr>
      </w:pPr>
      <w:r>
        <w:rPr>
          <w:rFonts w:hint="eastAsia" w:asciiTheme="minorEastAsia" w:hAnsiTheme="minorEastAsia" w:eastAsiaTheme="minorEastAsia" w:cstheme="minorEastAsia"/>
          <w:szCs w:val="21"/>
        </w:rPr>
        <w:t>图3-</w:t>
      </w:r>
      <w:r>
        <w:rPr>
          <w:rFonts w:asciiTheme="minorEastAsia" w:hAnsiTheme="minorEastAsia" w:eastAsiaTheme="minorEastAsia" w:cstheme="minorEastAsia"/>
          <w:szCs w:val="21"/>
        </w:rPr>
        <w:t>3-</w:t>
      </w:r>
      <w:r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szCs w:val="21"/>
        </w:rPr>
        <w:t xml:space="preserve"> </w:t>
      </w:r>
      <w:r>
        <w:rPr>
          <w:rFonts w:hint="default"/>
        </w:rPr>
        <w:t>教学设计</w:t>
      </w:r>
      <w:r>
        <w:rPr>
          <w:rFonts w:hint="eastAsia" w:asciiTheme="minorEastAsia" w:hAnsiTheme="minorEastAsia" w:eastAsiaTheme="minorEastAsia" w:cstheme="minorEastAsia"/>
          <w:szCs w:val="21"/>
        </w:rPr>
        <w:t>资源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7960" cy="2648585"/>
            <wp:effectExtent l="0" t="0" r="5080" b="3175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6690" cy="2597150"/>
            <wp:effectExtent l="0" t="0" r="6350" b="8890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</w:rPr>
        <w:t>图3-</w:t>
      </w:r>
      <w:r>
        <w:rPr>
          <w:rFonts w:hint="eastAsia"/>
          <w:lang w:val="en-US" w:eastAsia="zh-CN"/>
        </w:rPr>
        <w:t>3-3</w:t>
      </w:r>
      <w:r>
        <w:rPr>
          <w:rFonts w:hint="eastAsia"/>
        </w:rPr>
        <w:t xml:space="preserve"> </w:t>
      </w:r>
      <w:r>
        <w:rPr>
          <w:rFonts w:hint="default"/>
        </w:rPr>
        <w:t>教学设计</w:t>
      </w:r>
      <w:r>
        <w:rPr>
          <w:rFonts w:hint="eastAsia"/>
        </w:rPr>
        <w:t>资源</w:t>
      </w:r>
      <w:r>
        <w:rPr>
          <w:rFonts w:hint="eastAsia"/>
          <w:lang w:val="en-US" w:eastAsia="zh-CN"/>
        </w:rPr>
        <w:t>详情页</w:t>
      </w:r>
    </w:p>
    <w:p>
      <w:pPr>
        <w:pStyle w:val="3"/>
        <w:bidi w:val="0"/>
      </w:pPr>
      <w:bookmarkStart w:id="21" w:name="_Toc13039"/>
      <w:bookmarkStart w:id="22" w:name="_Toc1395392978"/>
      <w:r>
        <w:rPr>
          <w:rFonts w:hint="eastAsia"/>
        </w:rPr>
        <w:t>3.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 xml:space="preserve"> 思政课程</w:t>
      </w:r>
      <w:bookmarkEnd w:id="21"/>
      <w:bookmarkEnd w:id="22"/>
    </w:p>
    <w:p>
      <w:pPr>
        <w:bidi w:val="0"/>
      </w:pPr>
      <w:r>
        <w:rPr>
          <w:rFonts w:hint="eastAsia"/>
        </w:rPr>
        <w:t>该模块提供针对《马克思主义基本原理》、《毛泽东思想和中国特色社会主义理论体系概论》</w:t>
      </w:r>
      <w:r>
        <w:rPr>
          <w:rFonts w:hint="eastAsia"/>
          <w:lang w:val="en-US" w:eastAsia="zh-CN"/>
        </w:rPr>
        <w:t>等</w:t>
      </w:r>
      <w:r>
        <w:rPr>
          <w:rFonts w:hint="eastAsia"/>
        </w:rPr>
        <w:t>五门必修思政课程提供不同章节素材。用户可通过上</w:t>
      </w:r>
      <w:r>
        <w:rPr>
          <w:rFonts w:hint="eastAsia"/>
          <w:lang w:val="en-US" w:eastAsia="zh-CN"/>
        </w:rPr>
        <w:t>方</w:t>
      </w:r>
      <w:r>
        <w:rPr>
          <w:rFonts w:hint="eastAsia"/>
        </w:rPr>
        <w:t>的五门课程标识，查看某一课程的资源素材，例如：“思想道德与</w:t>
      </w:r>
      <w:r>
        <w:rPr>
          <w:rFonts w:hint="eastAsia"/>
          <w:lang w:val="en-US" w:eastAsia="zh-CN"/>
        </w:rPr>
        <w:t>法治</w:t>
      </w:r>
      <w:r>
        <w:rPr>
          <w:rFonts w:hint="eastAsia"/>
        </w:rPr>
        <w:t>”。点击此图片标识，下方即显示与该门课程相关的资源素材内容。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both"/>
        <w:textAlignment w:val="auto"/>
        <w:rPr>
          <w:rFonts w:ascii="宋体" w:hAnsi="宋体" w:cs="宋体"/>
          <w:b/>
          <w:bCs/>
          <w:sz w:val="24"/>
        </w:rPr>
      </w:pPr>
      <w:r>
        <w:drawing>
          <wp:inline distT="0" distB="0" distL="114300" distR="114300">
            <wp:extent cx="5268595" cy="2886710"/>
            <wp:effectExtent l="0" t="0" r="4445" b="889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  <w:jc w:val="center"/>
      </w:pPr>
      <w:r>
        <w:rPr>
          <w:rFonts w:hint="eastAsia"/>
        </w:rPr>
        <w:t>图3-</w:t>
      </w:r>
      <w:r>
        <w:rPr>
          <w:rFonts w:hint="eastAsia"/>
          <w:lang w:val="en-US" w:eastAsia="zh-CN"/>
        </w:rPr>
        <w:t>4-1</w:t>
      </w:r>
      <w:r>
        <w:rPr>
          <w:rFonts w:hint="eastAsia"/>
        </w:rPr>
        <w:t xml:space="preserve"> 思政课程网页图（部分）</w:t>
      </w:r>
    </w:p>
    <w:p>
      <w:pPr>
        <w:bidi w:val="0"/>
      </w:pPr>
      <w:r>
        <w:rPr>
          <w:rFonts w:hint="eastAsia"/>
        </w:rPr>
        <w:t>思政课程资源素材显示内容包括左侧导航、视频资源素材以及讲义文档三部分内容。点击视频资源素材，即可查看相关视频资源。左侧导航可定位到某一章节的资源内容处，方便用户浏览。</w:t>
      </w:r>
    </w:p>
    <w:p>
      <w:pPr>
        <w:spacing w:line="240" w:lineRule="auto"/>
        <w:ind w:firstLine="0"/>
        <w:jc w:val="center"/>
      </w:pPr>
      <w:r>
        <w:drawing>
          <wp:inline distT="0" distB="0" distL="114300" distR="114300">
            <wp:extent cx="4979670" cy="2456815"/>
            <wp:effectExtent l="42545" t="4445" r="52705" b="83820"/>
            <wp:docPr id="21" name="图片 14" descr="/Users/liangyi/Desktop/截屏2021-02-23 上午10.11.41.png截屏2021-02-23 上午10.11.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/Users/liangyi/Desktop/截屏2021-02-23 上午10.11.41.png截屏2021-02-23 上午10.11.41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967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</w:pPr>
      <w:r>
        <w:rPr>
          <w:rFonts w:hint="eastAsia" w:ascii="宋体" w:hAnsi="宋体" w:cs="宋体"/>
        </w:rPr>
        <w:t>图3-</w:t>
      </w:r>
      <w:r>
        <w:rPr>
          <w:rFonts w:hint="eastAsia" w:ascii="宋体" w:hAnsi="宋体" w:cs="宋体"/>
          <w:lang w:val="en-US" w:eastAsia="zh-CN"/>
        </w:rPr>
        <w:t>4-2</w:t>
      </w:r>
      <w:r>
        <w:rPr>
          <w:rFonts w:hint="eastAsia" w:ascii="宋体" w:hAnsi="宋体" w:cs="宋体"/>
        </w:rPr>
        <w:t xml:space="preserve"> 视频资源素材（部分）</w:t>
      </w:r>
    </w:p>
    <w:p>
      <w:pPr>
        <w:bidi w:val="0"/>
        <w:rPr>
          <w:rFonts w:hint="eastAsia"/>
          <w:lang w:eastAsia="zh-CN"/>
        </w:rPr>
      </w:pPr>
      <w:r>
        <w:rPr>
          <w:rFonts w:hint="eastAsia"/>
        </w:rPr>
        <w:t>每个章节右侧均有“</w:t>
      </w:r>
      <w:r>
        <w:rPr>
          <w:rFonts w:hint="eastAsia"/>
          <w:lang w:val="en-US" w:eastAsia="zh-Hans"/>
        </w:rPr>
        <w:t>课程资料</w:t>
      </w:r>
      <w:r>
        <w:rPr>
          <w:rFonts w:hint="eastAsia"/>
        </w:rPr>
        <w:t>”等的标识，点击即可实现相关文档资源的下载。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注：未登录账号仅能下载第一章资源</w:t>
      </w:r>
      <w:r>
        <w:rPr>
          <w:rFonts w:hint="eastAsia"/>
          <w:lang w:eastAsia="zh-CN"/>
        </w:rPr>
        <w:t>）</w:t>
      </w:r>
    </w:p>
    <w:p>
      <w:pPr>
        <w:spacing w:before="93" w:beforeLines="30" w:after="93" w:afterLines="30" w:line="312" w:lineRule="auto"/>
      </w:pPr>
      <w:r>
        <w:drawing>
          <wp:inline distT="0" distB="0" distL="114300" distR="114300">
            <wp:extent cx="5266055" cy="1560830"/>
            <wp:effectExtent l="42545" t="4445" r="50800" b="85725"/>
            <wp:docPr id="22" name="图片 15" descr="/Users/liangyi/Desktop/截屏2021-02-23 上午10.14.57.png截屏2021-02-23 上午10.14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/Users/liangyi/Desktop/截屏2021-02-23 上午10.14.57.png截屏2021-02-23 上午10.14.57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</w:pPr>
      <w:r>
        <w:rPr>
          <w:rFonts w:hint="eastAsia" w:ascii="宋体" w:hAnsi="宋体" w:cs="宋体"/>
        </w:rPr>
        <w:t>图3-</w:t>
      </w:r>
      <w:r>
        <w:rPr>
          <w:rFonts w:hint="eastAsia" w:ascii="宋体" w:hAnsi="宋体" w:cs="宋体"/>
          <w:lang w:val="en-US" w:eastAsia="zh-CN"/>
        </w:rPr>
        <w:t>4-3</w:t>
      </w:r>
      <w:r>
        <w:rPr>
          <w:rFonts w:hint="eastAsia" w:ascii="宋体" w:hAnsi="宋体" w:cs="宋体"/>
        </w:rPr>
        <w:t xml:space="preserve"> 讲义</w:t>
      </w:r>
      <w:r>
        <w:rPr>
          <w:rFonts w:hint="default" w:ascii="宋体" w:hAnsi="宋体" w:cs="宋体"/>
        </w:rPr>
        <w:t>、</w:t>
      </w:r>
      <w:r>
        <w:rPr>
          <w:rFonts w:hint="eastAsia" w:ascii="宋体" w:hAnsi="宋体" w:cs="宋体"/>
          <w:lang w:val="en-US" w:eastAsia="zh-Hans"/>
        </w:rPr>
        <w:t>案例</w:t>
      </w:r>
      <w:r>
        <w:rPr>
          <w:rFonts w:hint="eastAsia" w:ascii="宋体" w:hAnsi="宋体" w:cs="宋体"/>
        </w:rPr>
        <w:t>文件的下载</w:t>
      </w:r>
    </w:p>
    <w:p>
      <w:pPr>
        <w:pStyle w:val="3"/>
        <w:bidi w:val="0"/>
        <w:rPr>
          <w:rFonts w:hint="eastAsia"/>
          <w:lang w:eastAsia="zh-CN"/>
        </w:rPr>
      </w:pPr>
      <w:bookmarkStart w:id="23" w:name="_Toc1968438987"/>
      <w:bookmarkStart w:id="24" w:name="_Toc12961"/>
      <w:r>
        <w:rPr>
          <w:rFonts w:hint="eastAsia"/>
        </w:rPr>
        <w:t>3.</w:t>
      </w:r>
      <w:r>
        <w:rPr>
          <w:rFonts w:hint="eastAsia"/>
          <w:lang w:val="en-US" w:eastAsia="zh-CN"/>
        </w:rPr>
        <w:t>5</w:t>
      </w:r>
      <w:r>
        <w:rPr>
          <w:rFonts w:hint="eastAsia"/>
        </w:rPr>
        <w:t xml:space="preserve"> </w:t>
      </w:r>
      <w:bookmarkEnd w:id="23"/>
      <w:r>
        <w:rPr>
          <w:rFonts w:hint="eastAsia"/>
          <w:lang w:eastAsia="zh-CN"/>
        </w:rPr>
        <w:t>全景游学</w:t>
      </w:r>
      <w:bookmarkEnd w:id="24"/>
    </w:p>
    <w:p>
      <w:pPr>
        <w:spacing w:before="93" w:beforeLines="30" w:after="93" w:afterLines="30" w:line="312" w:lineRule="auto"/>
        <w:ind w:firstLine="48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点击导航中的“</w:t>
      </w:r>
      <w:r>
        <w:rPr>
          <w:rFonts w:hint="eastAsia" w:ascii="宋体" w:hAnsi="宋体" w:cs="宋体"/>
          <w:sz w:val="24"/>
          <w:lang w:eastAsia="zh-CN"/>
        </w:rPr>
        <w:t>全景游学</w:t>
      </w:r>
      <w:r>
        <w:rPr>
          <w:rFonts w:hint="eastAsia" w:ascii="宋体" w:hAnsi="宋体" w:cs="宋体"/>
          <w:sz w:val="24"/>
        </w:rPr>
        <w:t>”，页面跳转至该模块。此处包括辛亥革命、建党、大革命、十年内战、抗日战争、人物楷模等9大模块</w:t>
      </w:r>
      <w:r>
        <w:rPr>
          <w:rFonts w:hint="eastAsia" w:ascii="宋体" w:hAnsi="宋体" w:cs="宋体"/>
          <w:sz w:val="24"/>
          <w:lang w:val="en-US" w:eastAsia="zh-CN"/>
        </w:rPr>
        <w:t>45</w:t>
      </w:r>
      <w:r>
        <w:rPr>
          <w:rFonts w:hint="eastAsia" w:ascii="宋体" w:hAnsi="宋体" w:cs="宋体"/>
          <w:sz w:val="24"/>
        </w:rPr>
        <w:t>个红色基地，用户可通过</w:t>
      </w:r>
      <w:r>
        <w:rPr>
          <w:rFonts w:hint="eastAsia" w:ascii="宋体" w:hAnsi="宋体" w:cs="宋体"/>
          <w:sz w:val="24"/>
          <w:lang w:val="en-US" w:eastAsia="zh-CN"/>
        </w:rPr>
        <w:t>轮播按钮</w:t>
      </w:r>
      <w:r>
        <w:rPr>
          <w:rFonts w:hint="eastAsia" w:ascii="宋体" w:hAnsi="宋体" w:cs="宋体"/>
          <w:sz w:val="24"/>
        </w:rPr>
        <w:t>，查看所有的全景内容。</w:t>
      </w:r>
    </w:p>
    <w:p>
      <w:pPr>
        <w:spacing w:before="93" w:beforeLines="30" w:after="93" w:afterLines="30" w:line="312" w:lineRule="auto"/>
        <w:ind w:firstLine="480" w:firstLineChars="20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如果想要查看某一全景内容，直接点击该领域即可。例如点击“梁家河”全景内容。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  <w:rPr>
          <w:rFonts w:ascii="宋体" w:hAnsi="宋体" w:cs="宋体"/>
        </w:rPr>
      </w:pPr>
      <w:r>
        <w:drawing>
          <wp:inline distT="0" distB="0" distL="114300" distR="114300">
            <wp:extent cx="5272405" cy="3169920"/>
            <wp:effectExtent l="0" t="0" r="635" b="0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5-1</w:t>
      </w:r>
      <w:r>
        <w:rPr>
          <w:rFonts w:hint="eastAsia" w:ascii="宋体" w:hAnsi="宋体" w:cs="宋体"/>
          <w:szCs w:val="21"/>
        </w:rPr>
        <w:t xml:space="preserve"> 全景列表页面（部分）</w:t>
      </w:r>
      <w:r>
        <w:rPr>
          <w:rFonts w:hint="eastAsia" w:ascii="宋体" w:hAnsi="宋体" w:cs="宋体"/>
          <w:sz w:val="24"/>
        </w:rPr>
        <w:t xml:space="preserve"> </w:t>
      </w:r>
    </w:p>
    <w:p>
      <w:pPr>
        <w:spacing w:before="93" w:beforeLines="30" w:after="93" w:afterLines="30" w:line="312" w:lineRule="auto"/>
        <w:ind w:firstLine="480" w:firstLineChars="20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此时页面跳转至梁家河的全景内容查看页面，默认显示的为梁家河的鸟瞰图，并有相应的音频介绍，同时也有部分景点的标识，点击即可查看某一景点的内容。</w:t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ascii="宋体" w:hAnsi="宋体" w:cs="宋体"/>
          <w:sz w:val="24"/>
        </w:rPr>
      </w:pPr>
      <w:r>
        <w:drawing>
          <wp:inline distT="0" distB="0" distL="114300" distR="114300">
            <wp:extent cx="4723765" cy="2167890"/>
            <wp:effectExtent l="42545" t="4445" r="46990" b="88265"/>
            <wp:docPr id="4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23765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5-2</w:t>
      </w:r>
      <w:r>
        <w:rPr>
          <w:rFonts w:hint="eastAsia" w:ascii="宋体" w:hAnsi="宋体" w:cs="宋体"/>
          <w:szCs w:val="21"/>
        </w:rPr>
        <w:t xml:space="preserve"> 全景内容：梁家河</w:t>
      </w:r>
    </w:p>
    <w:p>
      <w:pPr>
        <w:spacing w:before="93" w:beforeLines="30" w:after="93" w:afterLines="30" w:line="312" w:lineRule="auto"/>
        <w:ind w:firstLine="480" w:firstLineChars="20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点击“知青旧居”页面跳转至其景点，如下图所示，用户可通过图片、视频的标识学习与该景点关联“背后的故事”。</w:t>
      </w:r>
    </w:p>
    <w:p>
      <w:pPr>
        <w:spacing w:before="93" w:beforeLines="30" w:after="93" w:afterLines="30" w:line="312" w:lineRule="auto"/>
        <w:jc w:val="both"/>
      </w:pPr>
      <w:r>
        <w:drawing>
          <wp:inline distT="0" distB="0" distL="114300" distR="114300">
            <wp:extent cx="4681855" cy="2391410"/>
            <wp:effectExtent l="42545" t="4445" r="50800" b="93345"/>
            <wp:docPr id="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81855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5-3</w:t>
      </w:r>
      <w:r>
        <w:rPr>
          <w:rFonts w:hint="eastAsia" w:ascii="宋体" w:hAnsi="宋体" w:cs="宋体"/>
          <w:szCs w:val="21"/>
        </w:rPr>
        <w:t>梁家河-知青旧居内容</w:t>
      </w:r>
    </w:p>
    <w:p>
      <w:pPr>
        <w:pStyle w:val="3"/>
        <w:bidi w:val="0"/>
        <w:rPr>
          <w:rFonts w:hint="default"/>
        </w:rPr>
      </w:pPr>
      <w:bookmarkStart w:id="25" w:name="_Toc20304"/>
      <w:r>
        <w:rPr>
          <w:rFonts w:hint="eastAsia"/>
          <w:lang w:val="en-US" w:eastAsia="zh-CN"/>
        </w:rPr>
        <w:t>3.6</w:t>
      </w:r>
      <w:r>
        <w:rPr>
          <w:rFonts w:hint="default"/>
        </w:rPr>
        <w:t>非凡十年</w:t>
      </w:r>
      <w:bookmarkEnd w:id="25"/>
    </w:p>
    <w:p>
      <w:pPr>
        <w:bidi w:val="0"/>
        <w:rPr>
          <w:rFonts w:hint="default"/>
        </w:rPr>
      </w:pPr>
      <w:r>
        <w:rPr>
          <w:rFonts w:hint="default"/>
        </w:rPr>
        <w:t>非凡十年包含《我们的新时代》、《十年，六个维度看中国》、《百秒说·非凡十年》、《新征程 建功新时代·非凡十年》、《领航》五个主题，2012年——2022年，行进在中华民族伟大复兴的历史征程上，中国人民书写下极不寻常、极不平凡的时代篇章，新时代的伟大变革中，不同维度的独特标识记录下中国的非凡十年。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</w:pPr>
      <w:r>
        <w:drawing>
          <wp:inline distT="0" distB="0" distL="114300" distR="114300">
            <wp:extent cx="5271770" cy="3332480"/>
            <wp:effectExtent l="0" t="0" r="1270" b="5080"/>
            <wp:docPr id="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6-1 非凡十年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主界面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可点击视频列表、课程介绍查看详细内容。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</w:pPr>
      <w:r>
        <w:drawing>
          <wp:inline distT="0" distB="0" distL="114300" distR="114300">
            <wp:extent cx="5268595" cy="2846705"/>
            <wp:effectExtent l="0" t="0" r="4445" b="3175"/>
            <wp:docPr id="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6-1 非凡十年详情页</w:t>
      </w:r>
    </w:p>
    <w:p>
      <w:pPr>
        <w:pStyle w:val="3"/>
        <w:bidi w:val="0"/>
        <w:rPr>
          <w:rFonts w:hint="default"/>
        </w:rPr>
      </w:pPr>
      <w:bookmarkStart w:id="26" w:name="_Toc9826"/>
      <w:r>
        <w:rPr>
          <w:rFonts w:hint="eastAsia"/>
          <w:lang w:val="en-US" w:eastAsia="zh-CN"/>
        </w:rPr>
        <w:t>3.7</w:t>
      </w:r>
      <w:r>
        <w:rPr>
          <w:rFonts w:hint="default"/>
        </w:rPr>
        <w:t>新时代新思想</w:t>
      </w:r>
      <w:bookmarkEnd w:id="26"/>
    </w:p>
    <w:p>
      <w:pPr>
        <w:bidi w:val="0"/>
        <w:rPr>
          <w:rFonts w:hint="default"/>
        </w:rPr>
      </w:pPr>
      <w:r>
        <w:rPr>
          <w:rFonts w:hint="default"/>
        </w:rPr>
        <w:t>站在“两个一百年”奋斗目标的历史交汇点上，踏上全面建设社会主义现代化国家新征程，我们必须坚持以习近平新时代中国特色社会主义思想为指导，把思想伟力转化为推动事业发展的强大动力。在指导新时代的伟大实践中，习近平新时代中国特色社会主义思想也必将得到进一步丰富和发展，更加彰显其思想伟力和历史意义。迎合政策面向高校开设新时代新思想模块，引导中国青年学习中国故事了解中国国情。</w:t>
      </w:r>
    </w:p>
    <w:p>
      <w:pPr>
        <w:rPr>
          <w:rStyle w:val="14"/>
          <w:rFonts w:hint="default"/>
        </w:rPr>
      </w:pPr>
    </w:p>
    <w:p>
      <w:pPr>
        <w:spacing w:before="93" w:beforeLines="30" w:after="93" w:afterLines="30" w:line="312" w:lineRule="auto"/>
        <w:ind w:left="0" w:leftChars="0" w:firstLine="0" w:firstLineChars="0"/>
        <w:outlineLvl w:val="1"/>
      </w:pPr>
      <w:bookmarkStart w:id="27" w:name="_Toc22650"/>
      <w:r>
        <w:drawing>
          <wp:inline distT="0" distB="0" distL="114300" distR="114300">
            <wp:extent cx="5269865" cy="2359025"/>
            <wp:effectExtent l="0" t="0" r="3175" b="3175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7"/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7-1 新时代新思想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主界面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spacing w:before="93" w:beforeLines="30" w:after="93" w:afterLines="30" w:line="312" w:lineRule="auto"/>
        <w:ind w:left="0" w:leftChars="0" w:firstLine="0" w:firstLineChars="0"/>
        <w:outlineLvl w:val="1"/>
        <w:rPr>
          <w:rFonts w:hint="default" w:eastAsia="宋体"/>
          <w:lang w:val="en-US" w:eastAsia="zh-CN"/>
        </w:rPr>
      </w:pPr>
      <w:bookmarkStart w:id="28" w:name="_Toc8242"/>
      <w:r>
        <w:rPr>
          <w:rFonts w:hint="eastAsia"/>
          <w:lang w:val="en-US" w:eastAsia="zh-CN"/>
        </w:rPr>
        <w:t>资源详情页可点击右上角进行资源下载。</w:t>
      </w:r>
      <w:bookmarkEnd w:id="28"/>
    </w:p>
    <w:p>
      <w:pPr>
        <w:spacing w:before="93" w:beforeLines="30" w:after="93" w:afterLines="30" w:line="312" w:lineRule="auto"/>
        <w:outlineLvl w:val="1"/>
      </w:pPr>
      <w:bookmarkStart w:id="29" w:name="_Toc25406"/>
      <w:r>
        <w:drawing>
          <wp:inline distT="0" distB="0" distL="114300" distR="114300">
            <wp:extent cx="5266690" cy="3106420"/>
            <wp:effectExtent l="0" t="0" r="6350" b="2540"/>
            <wp:docPr id="2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9"/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7-2 新时代新思想详情页</w:t>
      </w:r>
    </w:p>
    <w:p>
      <w:pPr>
        <w:spacing w:before="93" w:beforeLines="30" w:after="93" w:afterLines="30" w:line="312" w:lineRule="auto"/>
        <w:outlineLvl w:val="1"/>
      </w:pPr>
    </w:p>
    <w:p>
      <w:pPr>
        <w:pStyle w:val="3"/>
        <w:bidi w:val="0"/>
        <w:rPr>
          <w:rFonts w:hint="default"/>
          <w:lang w:val="en-US" w:eastAsia="zh-CN"/>
        </w:rPr>
      </w:pPr>
      <w:bookmarkStart w:id="30" w:name="_Toc28403"/>
      <w:r>
        <w:rPr>
          <w:rFonts w:hint="eastAsia"/>
          <w:lang w:val="en-US" w:eastAsia="zh-CN"/>
        </w:rPr>
        <w:t>3.8精神谱系</w:t>
      </w:r>
      <w:bookmarkEnd w:id="30"/>
    </w:p>
    <w:p>
      <w:pPr>
        <w:bidi w:val="0"/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该</w:t>
      </w:r>
      <w:r>
        <w:rPr>
          <w:rFonts w:hint="eastAsia"/>
        </w:rPr>
        <w:t>模块精选十大中国精神（红船精神、雷锋精神、延安精神、长征精神、抗疫精神、五四精神、女排精神、载人航天精神、井冈山精神、西柏坡精神），从精神解析、精神学习等方面提供相应的 PPT、视频等学习资料，让用户深刻认识中国精神的丰富精神</w:t>
      </w:r>
      <w:r>
        <w:rPr>
          <w:rFonts w:hint="eastAsia"/>
          <w:lang w:val="en-US" w:eastAsia="zh-Hans"/>
        </w:rPr>
        <w:t>内涵</w:t>
      </w:r>
      <w:r>
        <w:rPr>
          <w:rFonts w:hint="default"/>
          <w:lang w:eastAsia="zh-Hans"/>
        </w:rPr>
        <w:t>。</w:t>
      </w:r>
    </w:p>
    <w:p>
      <w:pPr>
        <w:bidi w:val="0"/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点击主界面左侧栏中任一中国精神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右侧书籍即可翻到相应的中国精神界面</w:t>
      </w:r>
      <w:r>
        <w:rPr>
          <w:rFonts w:hint="default"/>
          <w:lang w:eastAsia="zh-Hans"/>
        </w:rPr>
        <w:t>。</w:t>
      </w:r>
    </w:p>
    <w:p>
      <w:pPr>
        <w:spacing w:line="240" w:lineRule="auto"/>
        <w:ind w:firstLine="0" w:firstLineChars="0"/>
        <w:jc w:val="center"/>
        <w:rPr>
          <w:rFonts w:hint="eastAsia" w:ascii="宋体" w:hAnsi="宋体" w:cs="宋体"/>
          <w:sz w:val="24"/>
          <w:lang w:eastAsia="zh-Hans"/>
        </w:rPr>
      </w:pPr>
      <w:r>
        <w:drawing>
          <wp:inline distT="0" distB="0" distL="114300" distR="114300">
            <wp:extent cx="5273675" cy="3061335"/>
            <wp:effectExtent l="0" t="0" r="14605" b="1905"/>
            <wp:docPr id="4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hint="default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</w:rPr>
        <w:t>图3-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8-1</w:t>
      </w:r>
      <w:r>
        <w:rPr>
          <w:rFonts w:hint="eastAsia" w:asciiTheme="minorEastAsia" w:hAnsiTheme="minorEastAsia" w:eastAsiaTheme="minorEastAsia" w:cstheme="minorEastAsia"/>
        </w:rPr>
        <w:t xml:space="preserve"> 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中国精神主界面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spacing w:before="93" w:beforeLines="30" w:after="93" w:afterLines="30" w:line="312" w:lineRule="auto"/>
        <w:ind w:firstLine="480" w:firstLineChars="200"/>
        <w:rPr>
          <w:rFonts w:hint="default" w:ascii="宋体" w:hAnsi="宋体" w:cs="宋体"/>
          <w:sz w:val="24"/>
          <w:lang w:val="en-US" w:eastAsia="zh-Hans"/>
        </w:rPr>
      </w:pPr>
      <w:r>
        <w:rPr>
          <w:rFonts w:hint="eastAsia" w:ascii="宋体" w:hAnsi="宋体" w:cs="宋体"/>
          <w:sz w:val="24"/>
          <w:lang w:val="en-US" w:eastAsia="zh-Hans"/>
        </w:rPr>
        <w:t>点击下图黄色方块内的任意位置</w:t>
      </w:r>
      <w:r>
        <w:rPr>
          <w:rFonts w:hint="default" w:ascii="宋体" w:hAnsi="宋体" w:cs="宋体"/>
          <w:sz w:val="24"/>
          <w:lang w:eastAsia="zh-Hans"/>
        </w:rPr>
        <w:t>，</w:t>
      </w:r>
      <w:r>
        <w:rPr>
          <w:rFonts w:hint="eastAsia" w:ascii="宋体" w:hAnsi="宋体" w:cs="宋体"/>
          <w:sz w:val="24"/>
          <w:lang w:val="en-US" w:eastAsia="zh-Hans"/>
        </w:rPr>
        <w:t>即可跳转至选中的中国精神详情界面</w:t>
      </w:r>
      <w:r>
        <w:rPr>
          <w:rFonts w:hint="default" w:ascii="宋体" w:hAnsi="宋体" w:cs="宋体"/>
          <w:sz w:val="24"/>
          <w:lang w:eastAsia="zh-Hans"/>
        </w:rPr>
        <w:t>。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  <w:rPr>
          <w:rFonts w:hint="eastAsia" w:asciiTheme="minorEastAsia" w:hAnsiTheme="minorEastAsia" w:eastAsiaTheme="minorEastAsia" w:cstheme="minorEastAsia"/>
          <w:lang w:eastAsia="zh-Hans"/>
        </w:rPr>
      </w:pPr>
      <w:r>
        <w:drawing>
          <wp:inline distT="0" distB="0" distL="114300" distR="114300">
            <wp:extent cx="5267325" cy="2534920"/>
            <wp:effectExtent l="0" t="0" r="5715" b="10160"/>
            <wp:docPr id="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hint="default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</w:rPr>
        <w:t>图3-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8-2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中国精神主界面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spacing w:before="93" w:beforeLines="30" w:after="93" w:afterLines="30" w:line="312" w:lineRule="auto"/>
        <w:ind w:firstLine="480" w:firstLineChars="200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="宋体" w:hAnsi="宋体" w:cs="宋体"/>
          <w:sz w:val="24"/>
          <w:lang w:val="en-US" w:eastAsia="zh-Hans"/>
        </w:rPr>
        <w:t>进入详情页面后</w:t>
      </w:r>
      <w:r>
        <w:rPr>
          <w:rFonts w:hint="default" w:ascii="宋体" w:hAnsi="宋体" w:cs="宋体"/>
          <w:sz w:val="24"/>
          <w:lang w:eastAsia="zh-Hans"/>
        </w:rPr>
        <w:t>，</w:t>
      </w:r>
      <w:r>
        <w:rPr>
          <w:rFonts w:hint="eastAsia" w:ascii="宋体" w:hAnsi="宋体" w:cs="宋体"/>
          <w:sz w:val="24"/>
          <w:lang w:val="en-US" w:eastAsia="zh-Hans"/>
        </w:rPr>
        <w:t>选择相应的模块</w:t>
      </w:r>
      <w:r>
        <w:rPr>
          <w:rFonts w:hint="default" w:ascii="宋体" w:hAnsi="宋体" w:cs="宋体"/>
          <w:sz w:val="24"/>
          <w:lang w:eastAsia="zh-Hans"/>
        </w:rPr>
        <w:t>，</w:t>
      </w:r>
      <w:r>
        <w:rPr>
          <w:rFonts w:hint="eastAsia" w:ascii="宋体" w:hAnsi="宋体" w:cs="宋体"/>
          <w:sz w:val="24"/>
          <w:lang w:val="en-US" w:eastAsia="zh-Hans"/>
        </w:rPr>
        <w:t>点击图标即可进行相应模块的学习</w:t>
      </w:r>
      <w:r>
        <w:rPr>
          <w:rFonts w:hint="default" w:ascii="宋体" w:hAnsi="宋体" w:cs="宋体"/>
          <w:sz w:val="24"/>
          <w:lang w:eastAsia="zh-Hans"/>
        </w:rPr>
        <w:t>，</w:t>
      </w:r>
      <w:r>
        <w:rPr>
          <w:rFonts w:hint="eastAsia" w:ascii="宋体" w:hAnsi="宋体" w:cs="宋体"/>
          <w:sz w:val="24"/>
          <w:lang w:val="en-US" w:eastAsia="zh-Hans"/>
        </w:rPr>
        <w:t>资源类型有视频</w:t>
      </w:r>
      <w:r>
        <w:rPr>
          <w:rFonts w:hint="default" w:ascii="宋体" w:hAnsi="宋体" w:cs="宋体"/>
          <w:sz w:val="24"/>
          <w:lang w:eastAsia="zh-Hans"/>
        </w:rPr>
        <w:t>、</w:t>
      </w:r>
      <w:r>
        <w:rPr>
          <w:rFonts w:hint="eastAsia" w:ascii="宋体" w:hAnsi="宋体" w:cs="宋体"/>
          <w:sz w:val="24"/>
          <w:lang w:val="en-US" w:eastAsia="zh-Hans"/>
        </w:rPr>
        <w:t>文档等</w:t>
      </w:r>
      <w:r>
        <w:rPr>
          <w:rFonts w:hint="default" w:ascii="宋体" w:hAnsi="宋体" w:cs="宋体"/>
          <w:sz w:val="24"/>
          <w:lang w:eastAsia="zh-Hans"/>
        </w:rPr>
        <w:t>。</w:t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hint="eastAsia" w:asciiTheme="minorEastAsia" w:hAnsiTheme="minorEastAsia" w:eastAsiaTheme="minorEastAsia" w:cstheme="minorEastAsia"/>
          <w:lang w:eastAsia="zh-Hans"/>
        </w:rPr>
      </w:pPr>
      <w:r>
        <w:drawing>
          <wp:inline distT="0" distB="0" distL="114300" distR="114300">
            <wp:extent cx="2946400" cy="2232660"/>
            <wp:effectExtent l="42545" t="4445" r="43815" b="94615"/>
            <wp:docPr id="4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rcRect t="5883" r="1505" b="18033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hint="default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</w:rPr>
        <w:t>图3-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8-3</w:t>
      </w:r>
      <w:r>
        <w:rPr>
          <w:rFonts w:hint="eastAsia" w:asciiTheme="minorEastAsia" w:hAnsiTheme="minorEastAsia" w:eastAsiaTheme="minorEastAsia" w:cstheme="minorEastAsia"/>
        </w:rPr>
        <w:t xml:space="preserve"> 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中国精神详情页面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spacing w:before="93" w:beforeLines="30" w:after="93" w:afterLines="30" w:line="312" w:lineRule="auto"/>
        <w:ind w:left="0" w:leftChars="0" w:firstLine="0" w:firstLineChars="0"/>
        <w:jc w:val="lef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drawing>
          <wp:inline distT="0" distB="0" distL="114300" distR="114300">
            <wp:extent cx="2427605" cy="1019175"/>
            <wp:effectExtent l="42545" t="4445" r="44450" b="88900"/>
            <wp:docPr id="27" name="图片 27" descr="截屏2021-03-23 下午1.27.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截屏2021-03-23 下午1.27.02"/>
                    <pic:cNvPicPr>
                      <a:picLocks noChangeAspect="1"/>
                    </pic:cNvPicPr>
                  </pic:nvPicPr>
                  <pic:blipFill>
                    <a:blip r:embed="rId37"/>
                    <a:srcRect l="856" r="24998" b="2567"/>
                    <a:stretch>
                      <a:fillRect/>
                    </a:stretch>
                  </pic:blipFill>
                  <pic:spPr>
                    <a:xfrm>
                      <a:off x="0" y="0"/>
                      <a:ext cx="2427605" cy="101917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lang w:eastAsia="zh-Hans"/>
        </w:rPr>
        <w:drawing>
          <wp:inline distT="0" distB="0" distL="114300" distR="114300">
            <wp:extent cx="2418715" cy="934085"/>
            <wp:effectExtent l="42545" t="4445" r="53340" b="82550"/>
            <wp:docPr id="39" name="图片 39" descr="sz.gxsentu.net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z.gxsentu.net_00"/>
                    <pic:cNvPicPr>
                      <a:picLocks noChangeAspect="1"/>
                    </pic:cNvPicPr>
                  </pic:nvPicPr>
                  <pic:blipFill>
                    <a:blip r:embed="rId38"/>
                    <a:srcRect l="7398" t="17513" r="7398" b="19279"/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93408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ascii="Times New Roman" w:hAnsi="Times New Roman" w:eastAsia="宋体" w:cs="Times New Roman"/>
          <w:sz w:val="24"/>
        </w:rPr>
      </w:pPr>
      <w:r>
        <w:rPr>
          <w:rFonts w:hint="eastAsia" w:asciiTheme="minorEastAsia" w:hAnsiTheme="minorEastAsia" w:eastAsiaTheme="minorEastAsia" w:cstheme="minorEastAsia"/>
        </w:rPr>
        <w:t>图3-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8-4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视频</w:t>
      </w:r>
      <w:r>
        <w:rPr>
          <w:rFonts w:hint="default" w:asciiTheme="minorEastAsia" w:hAnsiTheme="minorEastAsia" w:eastAsiaTheme="minorEastAsia" w:cstheme="minorEastAsia"/>
          <w:lang w:eastAsia="zh-Hans"/>
        </w:rPr>
        <w:t>、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文档资源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pStyle w:val="3"/>
        <w:bidi w:val="0"/>
        <w:rPr>
          <w:rFonts w:hint="eastAsia"/>
          <w:lang w:val="en-US" w:eastAsia="zh-CN"/>
        </w:rPr>
      </w:pPr>
      <w:bookmarkStart w:id="31" w:name="_Toc8951"/>
      <w:r>
        <w:rPr>
          <w:rFonts w:hint="eastAsia"/>
          <w:lang w:val="en-US" w:eastAsia="zh-CN"/>
        </w:rPr>
        <w:t>3.9专题学习</w:t>
      </w:r>
      <w:bookmarkEnd w:id="31"/>
    </w:p>
    <w:p>
      <w:pPr>
        <w:bidi w:val="0"/>
        <w:rPr>
          <w:rFonts w:hint="default"/>
        </w:rPr>
      </w:pPr>
      <w:r>
        <w:rPr>
          <w:rFonts w:hint="default"/>
        </w:rPr>
        <w:t>紧贴高校思政教育所需资源内容，以专题形式汇集资源，提供15个主题的专题学习内容。</w:t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932680" cy="2054860"/>
            <wp:effectExtent l="0" t="0" r="5080" b="2540"/>
            <wp:docPr id="3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3268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</w:pPr>
      <w:r>
        <w:rPr>
          <w:rFonts w:hint="eastAsia" w:asciiTheme="minorEastAsia" w:hAnsiTheme="minorEastAsia" w:eastAsiaTheme="minorEastAsia" w:cstheme="minorEastAsia"/>
        </w:rPr>
        <w:t>图3-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9-1 专题学习主界面</w:t>
      </w:r>
      <w:r>
        <w:rPr>
          <w:rFonts w:hint="default" w:asciiTheme="minorEastAsia" w:hAnsiTheme="minorEastAsia" w:eastAsiaTheme="minorEastAsia" w:cstheme="minorEastAsia"/>
          <w:lang w:eastAsia="zh-Hans"/>
        </w:rPr>
        <w:t>（</w:t>
      </w:r>
      <w:r>
        <w:rPr>
          <w:rFonts w:hint="eastAsia" w:asciiTheme="minorEastAsia" w:hAnsiTheme="minorEastAsia" w:eastAsiaTheme="minorEastAsia" w:cstheme="minorEastAsia"/>
          <w:lang w:val="en-US" w:eastAsia="zh-Hans"/>
        </w:rPr>
        <w:t>部分</w:t>
      </w:r>
      <w:r>
        <w:rPr>
          <w:rFonts w:hint="default" w:asciiTheme="minorEastAsia" w:hAnsiTheme="minorEastAsia" w:eastAsiaTheme="minorEastAsia" w:cstheme="minorEastAsia"/>
          <w:lang w:eastAsia="zh-Hans"/>
        </w:rPr>
        <w:t>）</w:t>
      </w:r>
    </w:p>
    <w:p>
      <w:pPr>
        <w:bidi w:val="0"/>
      </w:pPr>
      <w:r>
        <w:rPr>
          <w:rFonts w:hint="eastAsia"/>
          <w:lang w:val="en-US" w:eastAsia="zh-CN"/>
        </w:rPr>
        <w:t>例如：</w:t>
      </w:r>
      <w:r>
        <w:rPr>
          <w:rFonts w:hint="eastAsia"/>
        </w:rPr>
        <w:t>“四史”学习模块，引导师生</w:t>
      </w:r>
      <w:r>
        <w:fldChar w:fldCharType="begin"/>
      </w:r>
      <w:r>
        <w:instrText xml:space="preserve"> HYPERLINK "http://www.baidu.com/link?url=7sSIhL6hXfU2hUZH1H6nFfFXbP_ii4TKO9I7NHEDC92LZSO7aZBHt6NNeG_6eAhgAIxz4zWQmZXhpWIFh05125yfgtAj2Wuq4t3hUD95gim" \t "https://www.baidu.com/_blank" </w:instrText>
      </w:r>
      <w:r>
        <w:fldChar w:fldCharType="separate"/>
      </w:r>
      <w:r>
        <w:rPr>
          <w:rFonts w:hint="eastAsia"/>
        </w:rPr>
        <w:t>知史爱党、知史爱国</w:t>
      </w:r>
      <w:r>
        <w:rPr>
          <w:rFonts w:hint="eastAsia"/>
        </w:rPr>
        <w:fldChar w:fldCharType="end"/>
      </w:r>
      <w:r>
        <w:rPr>
          <w:rFonts w:hint="eastAsia"/>
        </w:rPr>
        <w:t>。</w:t>
      </w:r>
    </w:p>
    <w:p>
      <w:pPr>
        <w:spacing w:before="93" w:beforeLines="30" w:after="93" w:afterLines="30" w:line="312" w:lineRule="auto"/>
        <w:ind w:left="0" w:leftChars="0" w:firstLine="0" w:firstLineChars="0"/>
        <w:jc w:val="center"/>
        <w:rPr>
          <w:rFonts w:ascii="宋体" w:hAnsi="宋体" w:cs="宋体"/>
          <w:sz w:val="24"/>
        </w:rPr>
      </w:pPr>
      <w:r>
        <w:drawing>
          <wp:inline distT="0" distB="0" distL="114300" distR="114300">
            <wp:extent cx="4877435" cy="2759710"/>
            <wp:effectExtent l="42545" t="4445" r="48260" b="85725"/>
            <wp:docPr id="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rcRect t="10671" b="3905"/>
                    <a:stretch>
                      <a:fillRect/>
                    </a:stretch>
                  </pic:blipFill>
                  <pic:spPr>
                    <a:xfrm>
                      <a:off x="0" y="0"/>
                      <a:ext cx="4877435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9-2</w:t>
      </w:r>
      <w:r>
        <w:rPr>
          <w:rFonts w:hint="eastAsia" w:ascii="宋体" w:hAnsi="宋体" w:cs="宋体"/>
          <w:szCs w:val="21"/>
        </w:rPr>
        <w:t xml:space="preserve"> </w:t>
      </w:r>
      <w:r>
        <w:rPr>
          <w:rFonts w:hint="eastAsia" w:ascii="宋体" w:hAnsi="宋体" w:cs="宋体"/>
          <w:szCs w:val="21"/>
          <w:lang w:eastAsia="zh-CN"/>
        </w:rPr>
        <w:t>“</w:t>
      </w:r>
      <w:r>
        <w:rPr>
          <w:rFonts w:hint="eastAsia" w:ascii="宋体" w:hAnsi="宋体" w:cs="宋体"/>
          <w:szCs w:val="21"/>
          <w:lang w:val="en-US" w:eastAsia="zh-CN"/>
        </w:rPr>
        <w:t>四史”学习</w:t>
      </w:r>
      <w:r>
        <w:rPr>
          <w:rFonts w:hint="eastAsia" w:ascii="宋体" w:hAnsi="宋体" w:cs="宋体"/>
          <w:szCs w:val="21"/>
        </w:rPr>
        <w:t>页面（部分）</w:t>
      </w:r>
    </w:p>
    <w:p>
      <w:pPr>
        <w:spacing w:before="93" w:beforeLines="30" w:after="93" w:afterLines="30" w:line="312" w:lineRule="auto"/>
        <w:ind w:firstLine="480" w:firstLineChars="200"/>
        <w:rPr>
          <w:rFonts w:hint="eastAsia" w:ascii="Times New Roman" w:hAnsi="Times New Roman" w:eastAsia="宋体" w:cs="Times New Roman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sz w:val="24"/>
          <w:lang w:val="en-US" w:eastAsia="zh-CN"/>
        </w:rPr>
        <w:t>点击更多，打开视频详情页面查看“四史”分类视频页</w:t>
      </w:r>
    </w:p>
    <w:p>
      <w:pPr>
        <w:spacing w:before="93" w:beforeLines="30" w:after="93" w:afterLines="30" w:line="312" w:lineRule="auto"/>
        <w:ind w:left="0" w:leftChars="0" w:firstLine="0" w:firstLineChars="0"/>
        <w:jc w:val="both"/>
      </w:pPr>
      <w:r>
        <w:drawing>
          <wp:inline distT="0" distB="0" distL="114300" distR="114300">
            <wp:extent cx="4950460" cy="3105150"/>
            <wp:effectExtent l="42545" t="4445" r="51435" b="90805"/>
            <wp:docPr id="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rcRect t="9873"/>
                    <a:stretch>
                      <a:fillRect/>
                    </a:stretch>
                  </pic:blipFill>
                  <pic:spPr>
                    <a:xfrm>
                      <a:off x="0" y="0"/>
                      <a:ext cx="495046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9-3</w:t>
      </w:r>
      <w:r>
        <w:rPr>
          <w:rFonts w:hint="eastAsia" w:ascii="宋体" w:hAnsi="宋体" w:cs="宋体"/>
          <w:szCs w:val="21"/>
          <w:lang w:eastAsia="zh-CN"/>
        </w:rPr>
        <w:t>“</w:t>
      </w:r>
      <w:r>
        <w:rPr>
          <w:rFonts w:hint="eastAsia" w:ascii="宋体" w:hAnsi="宋体" w:cs="宋体"/>
          <w:szCs w:val="21"/>
          <w:lang w:val="en-US" w:eastAsia="zh-CN"/>
        </w:rPr>
        <w:t>四史”学习详情</w:t>
      </w:r>
      <w:r>
        <w:rPr>
          <w:rFonts w:hint="eastAsia" w:ascii="宋体" w:hAnsi="宋体" w:cs="宋体"/>
          <w:szCs w:val="21"/>
        </w:rPr>
        <w:t>页面（部分）</w:t>
      </w:r>
    </w:p>
    <w:p>
      <w:pPr>
        <w:spacing w:before="93" w:beforeLines="30" w:after="93" w:afterLines="30" w:line="312" w:lineRule="auto"/>
        <w:ind w:firstLine="480" w:firstLineChars="200"/>
        <w:rPr>
          <w:rFonts w:hint="default" w:ascii="Times New Roman" w:hAnsi="Times New Roman" w:eastAsia="宋体" w:cs="Times New Roman"/>
          <w:sz w:val="24"/>
          <w:lang w:eastAsia="zh-Hans"/>
        </w:rPr>
      </w:pPr>
      <w:r>
        <w:rPr>
          <w:rFonts w:hint="eastAsia" w:ascii="Times New Roman" w:hAnsi="Times New Roman" w:eastAsia="宋体" w:cs="Times New Roman"/>
          <w:sz w:val="24"/>
          <w:lang w:val="en-US" w:eastAsia="zh-Hans"/>
        </w:rPr>
        <w:t>点击进入某一视频资源</w:t>
      </w:r>
      <w:r>
        <w:rPr>
          <w:rFonts w:hint="default" w:ascii="Times New Roman" w:hAnsi="Times New Roman" w:eastAsia="宋体" w:cs="Times New Roman"/>
          <w:sz w:val="24"/>
          <w:lang w:eastAsia="zh-Hans"/>
        </w:rPr>
        <w:t>，</w:t>
      </w:r>
      <w:r>
        <w:rPr>
          <w:rFonts w:hint="eastAsia" w:ascii="Times New Roman" w:hAnsi="Times New Roman" w:eastAsia="宋体" w:cs="Times New Roman"/>
          <w:sz w:val="24"/>
          <w:lang w:val="en-US" w:eastAsia="zh-Hans"/>
        </w:rPr>
        <w:t>即可进行资源的查看</w:t>
      </w:r>
      <w:r>
        <w:rPr>
          <w:rFonts w:hint="default" w:ascii="Times New Roman" w:hAnsi="Times New Roman" w:eastAsia="宋体" w:cs="Times New Roman"/>
          <w:sz w:val="24"/>
          <w:lang w:eastAsia="zh-Hans"/>
        </w:rPr>
        <w:t>，</w:t>
      </w:r>
      <w:r>
        <w:rPr>
          <w:rFonts w:hint="eastAsia" w:ascii="Times New Roman" w:hAnsi="Times New Roman" w:eastAsia="宋体" w:cs="Times New Roman"/>
          <w:sz w:val="24"/>
          <w:lang w:val="en-US" w:eastAsia="zh-Hans"/>
        </w:rPr>
        <w:t>用户登录后点击下图黄框内下载按钮</w:t>
      </w:r>
      <w:r>
        <w:rPr>
          <w:rFonts w:hint="default" w:ascii="Times New Roman" w:hAnsi="Times New Roman" w:eastAsia="宋体" w:cs="Times New Roman"/>
          <w:sz w:val="24"/>
          <w:lang w:eastAsia="zh-Hans"/>
        </w:rPr>
        <w:t>，</w:t>
      </w:r>
      <w:r>
        <w:rPr>
          <w:rFonts w:hint="eastAsia" w:ascii="Times New Roman" w:hAnsi="Times New Roman" w:eastAsia="宋体" w:cs="Times New Roman"/>
          <w:sz w:val="24"/>
          <w:lang w:val="en-US" w:eastAsia="zh-Hans"/>
        </w:rPr>
        <w:t>页面进行跳转</w:t>
      </w:r>
      <w:r>
        <w:rPr>
          <w:rFonts w:hint="default" w:ascii="Times New Roman" w:hAnsi="Times New Roman" w:eastAsia="宋体" w:cs="Times New Roman"/>
          <w:sz w:val="24"/>
          <w:lang w:eastAsia="zh-Hans"/>
        </w:rPr>
        <w:t>，</w:t>
      </w:r>
      <w:r>
        <w:rPr>
          <w:rFonts w:hint="eastAsia" w:ascii="Times New Roman" w:hAnsi="Times New Roman" w:eastAsia="宋体" w:cs="Times New Roman"/>
          <w:sz w:val="24"/>
          <w:lang w:val="en-US" w:eastAsia="zh-Hans"/>
        </w:rPr>
        <w:t>右键“另存为”即可保存到本地</w:t>
      </w:r>
      <w:r>
        <w:rPr>
          <w:rFonts w:hint="default" w:ascii="Times New Roman" w:hAnsi="Times New Roman" w:eastAsia="宋体" w:cs="Times New Roman"/>
          <w:sz w:val="24"/>
          <w:lang w:eastAsia="zh-Hans"/>
        </w:rPr>
        <w:t>。</w:t>
      </w:r>
    </w:p>
    <w:p>
      <w:pPr>
        <w:spacing w:line="240" w:lineRule="auto"/>
        <w:ind w:firstLine="0" w:firstLineChars="0"/>
        <w:jc w:val="center"/>
        <w:rPr>
          <w:rFonts w:hint="eastAsia" w:ascii="Times New Roman" w:hAnsi="Times New Roman" w:eastAsia="宋体" w:cs="Times New Roman"/>
          <w:sz w:val="24"/>
          <w:lang w:val="en-US" w:eastAsia="zh-Hans"/>
        </w:rPr>
      </w:pPr>
      <w:r>
        <w:drawing>
          <wp:inline distT="0" distB="0" distL="114300" distR="114300">
            <wp:extent cx="4582795" cy="2496185"/>
            <wp:effectExtent l="42545" t="4445" r="53340" b="90170"/>
            <wp:docPr id="5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82795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center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图3-</w:t>
      </w:r>
      <w:r>
        <w:rPr>
          <w:rFonts w:hint="eastAsia" w:ascii="宋体" w:hAnsi="宋体" w:cs="宋体"/>
          <w:szCs w:val="21"/>
          <w:lang w:val="en-US" w:eastAsia="zh-CN"/>
        </w:rPr>
        <w:t>9-4</w:t>
      </w:r>
      <w:r>
        <w:rPr>
          <w:rFonts w:hint="eastAsia" w:ascii="宋体" w:hAnsi="宋体" w:cs="宋体"/>
          <w:szCs w:val="21"/>
        </w:rPr>
        <w:t xml:space="preserve"> 资源素材内容</w:t>
      </w:r>
      <w:r>
        <w:rPr>
          <w:rFonts w:hint="eastAsia" w:ascii="宋体" w:hAnsi="宋体" w:cs="宋体"/>
          <w:szCs w:val="21"/>
          <w:lang w:val="en-US" w:eastAsia="zh-Hans"/>
        </w:rPr>
        <w:t>观看和下载界面</w:t>
      </w:r>
    </w:p>
    <w:bookmarkEnd w:id="14"/>
    <w:p>
      <w:pPr>
        <w:pStyle w:val="2"/>
        <w:bidi w:val="0"/>
      </w:pPr>
      <w:bookmarkStart w:id="32" w:name="_Toc254259663"/>
      <w:bookmarkStart w:id="33" w:name="_Toc16499"/>
      <w:r>
        <w:rPr>
          <w:rFonts w:hint="eastAsia"/>
        </w:rPr>
        <w:t>四、检索功能使用指南</w:t>
      </w:r>
      <w:bookmarkEnd w:id="32"/>
      <w:bookmarkEnd w:id="33"/>
    </w:p>
    <w:p>
      <w:pPr>
        <w:pStyle w:val="3"/>
        <w:bidi w:val="0"/>
      </w:pPr>
      <w:bookmarkStart w:id="34" w:name="_Toc16026"/>
      <w:bookmarkStart w:id="35" w:name="_Toc1997182158"/>
      <w:r>
        <w:rPr>
          <w:rFonts w:hint="eastAsia"/>
        </w:rPr>
        <w:t>4.1 检索</w:t>
      </w:r>
      <w:bookmarkEnd w:id="34"/>
      <w:bookmarkEnd w:id="35"/>
    </w:p>
    <w:p>
      <w:pPr>
        <w:bidi w:val="0"/>
      </w:pPr>
      <w:r>
        <w:rPr>
          <w:rFonts w:hint="eastAsia"/>
          <w:lang w:eastAsia="zh-CN"/>
        </w:rPr>
        <w:t>平台</w:t>
      </w:r>
      <w:r>
        <w:rPr>
          <w:rFonts w:hint="eastAsia"/>
        </w:rPr>
        <w:t>可实现针对某一关键词的全站检索，只需在搜索框中输入相应的关键词即可。即可查看每一模块关于该关键词的所有检索结果。</w:t>
      </w:r>
    </w:p>
    <w:p>
      <w:pPr>
        <w:bidi w:val="0"/>
      </w:pPr>
      <w:r>
        <w:rPr>
          <w:rFonts w:hint="eastAsia"/>
        </w:rPr>
        <w:t>例如：输入“</w:t>
      </w:r>
      <w:r>
        <w:rPr>
          <w:rFonts w:hint="eastAsia"/>
          <w:lang w:val="en-US" w:eastAsia="zh-CN"/>
        </w:rPr>
        <w:t>奉献</w:t>
      </w:r>
      <w:r>
        <w:rPr>
          <w:rFonts w:hint="eastAsia"/>
        </w:rPr>
        <w:t>”关键词，页面跳转至检索页面，可查看不同模块包含关键词的资源，如下图所示：</w:t>
      </w:r>
    </w:p>
    <w:p>
      <w:pPr>
        <w:spacing w:before="93" w:beforeLines="30" w:after="93" w:afterLines="30" w:line="312" w:lineRule="auto"/>
        <w:ind w:left="0" w:leftChars="0" w:firstLine="0" w:firstLineChars="0"/>
        <w:rPr>
          <w:rFonts w:hint="eastAsia" w:ascii="宋体" w:hAnsi="宋体" w:eastAsia="宋体" w:cs="宋体"/>
          <w:sz w:val="24"/>
          <w:lang w:eastAsia="zh-CN"/>
        </w:rPr>
      </w:pPr>
      <w:r>
        <w:drawing>
          <wp:inline distT="0" distB="0" distL="114300" distR="114300">
            <wp:extent cx="5176520" cy="2157730"/>
            <wp:effectExtent l="42545" t="4445" r="53975" b="9334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43"/>
                    <a:srcRect l="13600" t="7241" r="12575" b="48843"/>
                    <a:stretch>
                      <a:fillRect/>
                    </a:stretch>
                  </pic:blipFill>
                  <pic:spPr>
                    <a:xfrm>
                      <a:off x="0" y="0"/>
                      <a:ext cx="517652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spacing w:before="93" w:beforeLines="30" w:after="93" w:afterLines="30" w:line="312" w:lineRule="auto"/>
        <w:jc w:val="center"/>
        <w:rPr>
          <w:rFonts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图4-1</w:t>
      </w:r>
      <w:r>
        <w:rPr>
          <w:rFonts w:hint="eastAsia" w:ascii="宋体" w:hAnsi="宋体" w:cs="宋体"/>
          <w:szCs w:val="21"/>
          <w:lang w:val="en-US" w:eastAsia="zh-CN"/>
        </w:rPr>
        <w:t>-1</w:t>
      </w:r>
      <w:r>
        <w:rPr>
          <w:rFonts w:hint="eastAsia" w:ascii="宋体" w:hAnsi="宋体" w:cs="宋体"/>
          <w:szCs w:val="21"/>
        </w:rPr>
        <w:t xml:space="preserve"> 检索结果页（部分）</w:t>
      </w:r>
    </w:p>
    <w:p>
      <w:pPr>
        <w:spacing w:before="93" w:beforeLines="30" w:after="93" w:afterLines="30" w:line="312" w:lineRule="auto"/>
        <w:rPr>
          <w:rFonts w:ascii="宋体" w:hAnsi="宋体" w:cs="宋体"/>
          <w:sz w:val="24"/>
          <w:szCs w:val="32"/>
        </w:rPr>
      </w:pPr>
      <w:r>
        <w:rPr>
          <w:rFonts w:hint="eastAsia" w:ascii="宋体" w:hAnsi="宋体" w:cs="宋体"/>
          <w:sz w:val="24"/>
        </w:rPr>
        <w:t>如上图所示，左侧为所包含该关键词的模块分类，点击即可查看该模块下关于关键词的资源结果，点击某一资源，即可进行相应检索资源的查看。</w:t>
      </w:r>
    </w:p>
    <w:sectPr>
      <w:footerReference r:id="rId7" w:type="default"/>
      <w:pgSz w:w="11906" w:h="16838"/>
      <w:pgMar w:top="1440" w:right="1800" w:bottom="1440" w:left="1800" w:header="851" w:footer="992" w:gutter="0"/>
      <w:pgNumType w:start="1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DejaVu Sans">
    <w:altName w:val="Times New Roman"/>
    <w:panose1 w:val="02020603050405020304"/>
    <w:charset w:val="00"/>
    <w:family w:val="roman"/>
    <w:pitch w:val="default"/>
    <w:sig w:usb0="00000000" w:usb1="00000000" w:usb2="00000008" w:usb3="00000000" w:csb0="0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rFonts w:hint="eastAsia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4" name="文本框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16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J7cdktAgAAVw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GJ7cdk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16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bottom w:val="none" w:color="auto" w:sz="0" w:space="1"/>
      </w:pBdr>
      <w:jc w:val="right"/>
      <w:rPr>
        <w:rFonts w:ascii="微软雅黑" w:hAnsi="微软雅黑" w:eastAsia="微软雅黑" w:cs="微软雅黑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988B71"/>
    <w:multiLevelType w:val="singleLevel"/>
    <w:tmpl w:val="9A988B71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2A5F7667"/>
    <w:multiLevelType w:val="singleLevel"/>
    <w:tmpl w:val="2A5F766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E2N2JhM2VlY2Q1ZWMxYWNmNjRhNmZhOTM0YzRmOTQifQ=="/>
  </w:docVars>
  <w:rsids>
    <w:rsidRoot w:val="16266F2C"/>
    <w:rsid w:val="00472D34"/>
    <w:rsid w:val="00742C54"/>
    <w:rsid w:val="008A508E"/>
    <w:rsid w:val="00A307C5"/>
    <w:rsid w:val="00C26326"/>
    <w:rsid w:val="00D4337D"/>
    <w:rsid w:val="00F07AF1"/>
    <w:rsid w:val="01314EAF"/>
    <w:rsid w:val="02513726"/>
    <w:rsid w:val="03B9556D"/>
    <w:rsid w:val="04EE125A"/>
    <w:rsid w:val="05DE7432"/>
    <w:rsid w:val="060142DA"/>
    <w:rsid w:val="06D012F3"/>
    <w:rsid w:val="090B6966"/>
    <w:rsid w:val="0A426C6A"/>
    <w:rsid w:val="0A5317C9"/>
    <w:rsid w:val="0A9D22BD"/>
    <w:rsid w:val="0AAF5000"/>
    <w:rsid w:val="0B941C68"/>
    <w:rsid w:val="0BAB1273"/>
    <w:rsid w:val="0BFFE623"/>
    <w:rsid w:val="0D331F8C"/>
    <w:rsid w:val="0E035CF6"/>
    <w:rsid w:val="0FA41A5E"/>
    <w:rsid w:val="0FE054A5"/>
    <w:rsid w:val="10094F8D"/>
    <w:rsid w:val="102570C6"/>
    <w:rsid w:val="10571595"/>
    <w:rsid w:val="10ED2C27"/>
    <w:rsid w:val="11BA5CC9"/>
    <w:rsid w:val="12D02BE8"/>
    <w:rsid w:val="13AB2C07"/>
    <w:rsid w:val="13C8726C"/>
    <w:rsid w:val="14B0276D"/>
    <w:rsid w:val="153B4E05"/>
    <w:rsid w:val="16266F2C"/>
    <w:rsid w:val="168C7352"/>
    <w:rsid w:val="16FF7311"/>
    <w:rsid w:val="173D045A"/>
    <w:rsid w:val="17461060"/>
    <w:rsid w:val="18361CB4"/>
    <w:rsid w:val="18D53F37"/>
    <w:rsid w:val="18F56EF6"/>
    <w:rsid w:val="1A537A49"/>
    <w:rsid w:val="1B185D50"/>
    <w:rsid w:val="1C8213BB"/>
    <w:rsid w:val="1C874383"/>
    <w:rsid w:val="1C9F1A20"/>
    <w:rsid w:val="1D69684C"/>
    <w:rsid w:val="1D74BC48"/>
    <w:rsid w:val="1E6C412E"/>
    <w:rsid w:val="1EE44E52"/>
    <w:rsid w:val="1F741FC3"/>
    <w:rsid w:val="205E1B27"/>
    <w:rsid w:val="20D26000"/>
    <w:rsid w:val="20FD7396"/>
    <w:rsid w:val="21BA7C5C"/>
    <w:rsid w:val="21E15811"/>
    <w:rsid w:val="22D82A58"/>
    <w:rsid w:val="238B79DB"/>
    <w:rsid w:val="23B40C46"/>
    <w:rsid w:val="23CA1DFE"/>
    <w:rsid w:val="246F43FD"/>
    <w:rsid w:val="24787B19"/>
    <w:rsid w:val="24F85081"/>
    <w:rsid w:val="28207F56"/>
    <w:rsid w:val="284C49A8"/>
    <w:rsid w:val="29E55BE3"/>
    <w:rsid w:val="2AE7E01F"/>
    <w:rsid w:val="2D5B0FC4"/>
    <w:rsid w:val="2DAB2B64"/>
    <w:rsid w:val="2E297026"/>
    <w:rsid w:val="2F3DF403"/>
    <w:rsid w:val="30944AFD"/>
    <w:rsid w:val="30F97ABE"/>
    <w:rsid w:val="314574E2"/>
    <w:rsid w:val="32311AEA"/>
    <w:rsid w:val="331D7E5A"/>
    <w:rsid w:val="33841CBB"/>
    <w:rsid w:val="3521602A"/>
    <w:rsid w:val="35B2232D"/>
    <w:rsid w:val="36DEA0C6"/>
    <w:rsid w:val="374E6723"/>
    <w:rsid w:val="38CC47F9"/>
    <w:rsid w:val="38FC3013"/>
    <w:rsid w:val="394048A7"/>
    <w:rsid w:val="39A11F0C"/>
    <w:rsid w:val="39E620B3"/>
    <w:rsid w:val="3A230388"/>
    <w:rsid w:val="3A784782"/>
    <w:rsid w:val="3B231D35"/>
    <w:rsid w:val="3B370DC9"/>
    <w:rsid w:val="3B3742B4"/>
    <w:rsid w:val="3BEF047A"/>
    <w:rsid w:val="3C1400AD"/>
    <w:rsid w:val="3D1A5702"/>
    <w:rsid w:val="3DCA55D9"/>
    <w:rsid w:val="3DD795FD"/>
    <w:rsid w:val="3DEF5B51"/>
    <w:rsid w:val="3E3F5D71"/>
    <w:rsid w:val="3E915204"/>
    <w:rsid w:val="3EB753C6"/>
    <w:rsid w:val="3EE54664"/>
    <w:rsid w:val="3F131877"/>
    <w:rsid w:val="3F2F4E94"/>
    <w:rsid w:val="3F6DF4ED"/>
    <w:rsid w:val="3F7753F6"/>
    <w:rsid w:val="3FBF521E"/>
    <w:rsid w:val="3FBFEC52"/>
    <w:rsid w:val="3FEB667F"/>
    <w:rsid w:val="40394ED5"/>
    <w:rsid w:val="41F70887"/>
    <w:rsid w:val="44640AF9"/>
    <w:rsid w:val="44911984"/>
    <w:rsid w:val="44934EAC"/>
    <w:rsid w:val="45480FE6"/>
    <w:rsid w:val="4576114A"/>
    <w:rsid w:val="45D77CAE"/>
    <w:rsid w:val="46007258"/>
    <w:rsid w:val="461E3EE0"/>
    <w:rsid w:val="468956D1"/>
    <w:rsid w:val="47996DF5"/>
    <w:rsid w:val="47A0048B"/>
    <w:rsid w:val="48492857"/>
    <w:rsid w:val="49C1502C"/>
    <w:rsid w:val="49DC6932"/>
    <w:rsid w:val="4A2F4125"/>
    <w:rsid w:val="4C7E3E9E"/>
    <w:rsid w:val="4DFBDFDD"/>
    <w:rsid w:val="4E334E61"/>
    <w:rsid w:val="4F5333A2"/>
    <w:rsid w:val="4FFEF83C"/>
    <w:rsid w:val="520819D0"/>
    <w:rsid w:val="52576C49"/>
    <w:rsid w:val="52F0BAD2"/>
    <w:rsid w:val="533C61C3"/>
    <w:rsid w:val="538F2073"/>
    <w:rsid w:val="53F328B0"/>
    <w:rsid w:val="54446263"/>
    <w:rsid w:val="5637EC82"/>
    <w:rsid w:val="564E0D80"/>
    <w:rsid w:val="56EA2A42"/>
    <w:rsid w:val="577785FE"/>
    <w:rsid w:val="582C3A03"/>
    <w:rsid w:val="58FD403E"/>
    <w:rsid w:val="59FC427F"/>
    <w:rsid w:val="59FE364B"/>
    <w:rsid w:val="59FF24D8"/>
    <w:rsid w:val="5AE00014"/>
    <w:rsid w:val="5BEFB57C"/>
    <w:rsid w:val="5BFD47D5"/>
    <w:rsid w:val="5C424399"/>
    <w:rsid w:val="5CDA09FA"/>
    <w:rsid w:val="5CE558CA"/>
    <w:rsid w:val="5CED707D"/>
    <w:rsid w:val="5DAD7668"/>
    <w:rsid w:val="5E7F0C14"/>
    <w:rsid w:val="5E7F0E08"/>
    <w:rsid w:val="5EDE1FB7"/>
    <w:rsid w:val="5EEF3EF1"/>
    <w:rsid w:val="5FEFB643"/>
    <w:rsid w:val="5FF52C77"/>
    <w:rsid w:val="60995C62"/>
    <w:rsid w:val="60A44C97"/>
    <w:rsid w:val="61105EEB"/>
    <w:rsid w:val="612F0835"/>
    <w:rsid w:val="613E7CD6"/>
    <w:rsid w:val="618F742E"/>
    <w:rsid w:val="61FC76D4"/>
    <w:rsid w:val="628E2701"/>
    <w:rsid w:val="62BC3F5B"/>
    <w:rsid w:val="639343EA"/>
    <w:rsid w:val="63944938"/>
    <w:rsid w:val="65D161DA"/>
    <w:rsid w:val="65FF7930"/>
    <w:rsid w:val="675D777F"/>
    <w:rsid w:val="687A16EA"/>
    <w:rsid w:val="696FF7F9"/>
    <w:rsid w:val="6A6A4689"/>
    <w:rsid w:val="6A7F8D5D"/>
    <w:rsid w:val="6AB70033"/>
    <w:rsid w:val="6B384FF7"/>
    <w:rsid w:val="6B6C17F7"/>
    <w:rsid w:val="6CB708B0"/>
    <w:rsid w:val="6CBDBAE1"/>
    <w:rsid w:val="6CD46BB9"/>
    <w:rsid w:val="6D3F007F"/>
    <w:rsid w:val="6D535020"/>
    <w:rsid w:val="6D917534"/>
    <w:rsid w:val="6DED55FF"/>
    <w:rsid w:val="6F09473C"/>
    <w:rsid w:val="6FCFC826"/>
    <w:rsid w:val="6FE5BA3D"/>
    <w:rsid w:val="6FFFAC52"/>
    <w:rsid w:val="707C5EDF"/>
    <w:rsid w:val="7116417E"/>
    <w:rsid w:val="713F73AF"/>
    <w:rsid w:val="71744156"/>
    <w:rsid w:val="72FC692D"/>
    <w:rsid w:val="73081ECB"/>
    <w:rsid w:val="731D10A7"/>
    <w:rsid w:val="73E01735"/>
    <w:rsid w:val="74636953"/>
    <w:rsid w:val="746D3785"/>
    <w:rsid w:val="748C568A"/>
    <w:rsid w:val="74D826E8"/>
    <w:rsid w:val="75672C76"/>
    <w:rsid w:val="75BD5261"/>
    <w:rsid w:val="75DB606B"/>
    <w:rsid w:val="75EE26B2"/>
    <w:rsid w:val="75FD7FB0"/>
    <w:rsid w:val="76DB1CCA"/>
    <w:rsid w:val="773A61CE"/>
    <w:rsid w:val="77EA6936"/>
    <w:rsid w:val="78247DF4"/>
    <w:rsid w:val="7875F5BD"/>
    <w:rsid w:val="78BA25E5"/>
    <w:rsid w:val="790A2AEE"/>
    <w:rsid w:val="79271D44"/>
    <w:rsid w:val="79F92609"/>
    <w:rsid w:val="79FFC31B"/>
    <w:rsid w:val="7AE8512F"/>
    <w:rsid w:val="7BA10332"/>
    <w:rsid w:val="7BE38816"/>
    <w:rsid w:val="7BF6B436"/>
    <w:rsid w:val="7BF90E04"/>
    <w:rsid w:val="7BFB7E5A"/>
    <w:rsid w:val="7D1015C3"/>
    <w:rsid w:val="7D7E4125"/>
    <w:rsid w:val="7D7EBD25"/>
    <w:rsid w:val="7DEF59A3"/>
    <w:rsid w:val="7DFB0F1D"/>
    <w:rsid w:val="7E1FE496"/>
    <w:rsid w:val="7E7E305D"/>
    <w:rsid w:val="7ED74649"/>
    <w:rsid w:val="7EE13AB9"/>
    <w:rsid w:val="7F1C05BA"/>
    <w:rsid w:val="7F7D3DC3"/>
    <w:rsid w:val="7F7E64E7"/>
    <w:rsid w:val="7FAB77E7"/>
    <w:rsid w:val="7FCF14D4"/>
    <w:rsid w:val="7FCF2509"/>
    <w:rsid w:val="7FE96C15"/>
    <w:rsid w:val="7FF6732B"/>
    <w:rsid w:val="7FF90C56"/>
    <w:rsid w:val="7FFC3DF4"/>
    <w:rsid w:val="7FFF7242"/>
    <w:rsid w:val="8FF5B4AC"/>
    <w:rsid w:val="8FFFA4EC"/>
    <w:rsid w:val="9BCF8DA6"/>
    <w:rsid w:val="9BFFD776"/>
    <w:rsid w:val="9DEDE19B"/>
    <w:rsid w:val="9F5FA158"/>
    <w:rsid w:val="9F7974A3"/>
    <w:rsid w:val="9FEFEE82"/>
    <w:rsid w:val="9FFD251D"/>
    <w:rsid w:val="9FFD3FFF"/>
    <w:rsid w:val="9FFDB577"/>
    <w:rsid w:val="A33F3DB2"/>
    <w:rsid w:val="A3DFB55F"/>
    <w:rsid w:val="AF7FC692"/>
    <w:rsid w:val="AFDEA385"/>
    <w:rsid w:val="BBFD803B"/>
    <w:rsid w:val="BC55C875"/>
    <w:rsid w:val="BDE75044"/>
    <w:rsid w:val="BF3F66FA"/>
    <w:rsid w:val="BFBF98FB"/>
    <w:rsid w:val="C93A15A0"/>
    <w:rsid w:val="CFEFF7EC"/>
    <w:rsid w:val="D77B578C"/>
    <w:rsid w:val="D79FB10D"/>
    <w:rsid w:val="D7F749C7"/>
    <w:rsid w:val="D9BB198D"/>
    <w:rsid w:val="DB6E3916"/>
    <w:rsid w:val="DB764419"/>
    <w:rsid w:val="DCAFA0C0"/>
    <w:rsid w:val="DE5F1170"/>
    <w:rsid w:val="DE7D5464"/>
    <w:rsid w:val="DE7F40A7"/>
    <w:rsid w:val="E77CA2D9"/>
    <w:rsid w:val="EBFFEF46"/>
    <w:rsid w:val="ECDDF453"/>
    <w:rsid w:val="EF7DC2D4"/>
    <w:rsid w:val="EFCB16D8"/>
    <w:rsid w:val="EFE4BE16"/>
    <w:rsid w:val="EFFF8487"/>
    <w:rsid w:val="F25F4874"/>
    <w:rsid w:val="F3F3979F"/>
    <w:rsid w:val="F3FBD21F"/>
    <w:rsid w:val="F6ED8585"/>
    <w:rsid w:val="F7F9A067"/>
    <w:rsid w:val="F7FF178B"/>
    <w:rsid w:val="FAFA61B6"/>
    <w:rsid w:val="FB7E77C2"/>
    <w:rsid w:val="FBBF8E4A"/>
    <w:rsid w:val="FBDDD068"/>
    <w:rsid w:val="FBFFA9F6"/>
    <w:rsid w:val="FCBF0AFD"/>
    <w:rsid w:val="FD6F232F"/>
    <w:rsid w:val="FDA5A94C"/>
    <w:rsid w:val="FDEFA16F"/>
    <w:rsid w:val="FDFE3E37"/>
    <w:rsid w:val="FE5B1304"/>
    <w:rsid w:val="FEDECF97"/>
    <w:rsid w:val="FEF70C88"/>
    <w:rsid w:val="FEFF18FE"/>
    <w:rsid w:val="FF6D6CD7"/>
    <w:rsid w:val="FFBAA639"/>
    <w:rsid w:val="FFD3E016"/>
    <w:rsid w:val="FFF44691"/>
    <w:rsid w:val="FFF93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80" w:firstLineChars="200"/>
      <w:jc w:val="both"/>
    </w:pPr>
    <w:rPr>
      <w:rFonts w:ascii="Calibri" w:hAnsi="Calibri" w:eastAsia="宋体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360" w:lineRule="auto"/>
      <w:ind w:firstLine="0" w:firstLineChars="0"/>
      <w:jc w:val="left"/>
      <w:outlineLvl w:val="0"/>
    </w:pPr>
    <w:rPr>
      <w:b/>
      <w:kern w:val="44"/>
      <w:sz w:val="28"/>
    </w:rPr>
  </w:style>
  <w:style w:type="paragraph" w:styleId="3">
    <w:name w:val="heading 2"/>
    <w:basedOn w:val="1"/>
    <w:next w:val="1"/>
    <w:link w:val="20"/>
    <w:unhideWhenUsed/>
    <w:qFormat/>
    <w:uiPriority w:val="0"/>
    <w:pPr>
      <w:keepNext/>
      <w:keepLines/>
      <w:spacing w:before="260" w:beforeLines="0" w:beforeAutospacing="0" w:after="260" w:afterLines="0" w:afterAutospacing="0" w:line="360" w:lineRule="auto"/>
      <w:ind w:firstLine="0" w:firstLineChars="0"/>
      <w:jc w:val="left"/>
      <w:outlineLvl w:val="1"/>
    </w:pPr>
    <w:rPr>
      <w:rFonts w:ascii="DejaVu Sans" w:hAnsi="DejaVu Sans" w:eastAsia="宋体"/>
      <w:b/>
      <w:sz w:val="24"/>
    </w:rPr>
  </w:style>
  <w:style w:type="paragraph" w:styleId="4">
    <w:name w:val="heading 3"/>
    <w:basedOn w:val="1"/>
    <w:next w:val="1"/>
    <w:link w:val="2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3">
    <w:name w:val="Default Paragraph Font"/>
    <w:unhideWhenUsed/>
    <w:qFormat/>
    <w:uiPriority w:val="1"/>
  </w:style>
  <w:style w:type="table" w:default="1" w:styleId="11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0"/>
    <w:pPr>
      <w:ind w:left="840" w:leftChars="400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paragraph" w:styleId="10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12">
    <w:name w:val="Table Grid"/>
    <w:basedOn w:val="11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4">
    <w:name w:val="font21"/>
    <w:basedOn w:val="13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5">
    <w:name w:val="font11"/>
    <w:basedOn w:val="13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16">
    <w:name w:val="font01"/>
    <w:basedOn w:val="13"/>
    <w:qFormat/>
    <w:uiPriority w:val="0"/>
    <w:rPr>
      <w:rFonts w:ascii="Arial" w:hAnsi="Arial" w:cs="Arial"/>
      <w:color w:val="000000"/>
      <w:sz w:val="21"/>
      <w:szCs w:val="21"/>
      <w:u w:val="none"/>
    </w:rPr>
  </w:style>
  <w:style w:type="paragraph" w:customStyle="1" w:styleId="17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8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9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  <w:style w:type="character" w:customStyle="1" w:styleId="20">
    <w:name w:val="标题 2 Char"/>
    <w:link w:val="3"/>
    <w:qFormat/>
    <w:uiPriority w:val="0"/>
    <w:rPr>
      <w:rFonts w:ascii="DejaVu Sans" w:hAnsi="DejaVu Sans" w:eastAsia="宋体"/>
      <w:b/>
      <w:sz w:val="24"/>
    </w:rPr>
  </w:style>
  <w:style w:type="character" w:customStyle="1" w:styleId="21">
    <w:name w:val="标题 3 Char"/>
    <w:link w:val="4"/>
    <w:qFormat/>
    <w:uiPriority w:val="0"/>
    <w:rPr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jpe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iangyi\Library\Containers\com.kingsoft.wpsoffice.mac\Data\C:\Users\lenovo\AppData\Roaming\Kingsoft\wps\addons\pool\win-i386\knewfileruby_1.0.0.12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19</Pages>
  <Words>3789</Words>
  <Characters>4027</Characters>
  <Lines>36</Lines>
  <Paragraphs>10</Paragraphs>
  <TotalTime>7</TotalTime>
  <ScaleCrop>false</ScaleCrop>
  <LinksUpToDate>false</LinksUpToDate>
  <CharactersWithSpaces>4125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2020-02-15T05:02:00Z</dcterms:created>
  <dc:creator>伱堓</dc:creator>
  <cp:lastModifiedBy>金盼</cp:lastModifiedBy>
  <dcterms:modified xsi:type="dcterms:W3CDTF">2023-02-11T09:05:46Z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AD8B8CAB6D224840A57F808DA1B34843</vt:lpwstr>
  </property>
</Properties>
</file>